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3A12" w14:textId="4DA8A9C8" w:rsidR="00A02BC9" w:rsidRDefault="006E5C07"/>
    <w:p w14:paraId="12DDA50A" w14:textId="18A73AED" w:rsidR="006E5C07" w:rsidRPr="006E5C07" w:rsidRDefault="006E5C07" w:rsidP="006E5C07">
      <w:pPr>
        <w:spacing w:after="0" w:line="240" w:lineRule="auto"/>
        <w:rPr>
          <w:rFonts w:ascii="Times New Roman" w:eastAsia="Times New Roman" w:hAnsi="Times New Roman" w:cs="Times New Roman"/>
          <w:sz w:val="24"/>
          <w:szCs w:val="24"/>
        </w:rPr>
      </w:pPr>
      <w:r w:rsidRPr="006E5C07">
        <w:rPr>
          <w:rFonts w:ascii="Times New Roman" w:eastAsia="Times New Roman" w:hAnsi="Times New Roman" w:cs="Times New Roman"/>
          <w:noProof/>
          <w:sz w:val="24"/>
          <w:szCs w:val="24"/>
        </w:rPr>
        <w:drawing>
          <wp:inline distT="0" distB="0" distL="0" distR="0" wp14:anchorId="20AC73A8" wp14:editId="76AE52B1">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5C111C2A" w14:textId="77777777" w:rsidR="006E5C07" w:rsidRPr="006E5C07" w:rsidRDefault="006E5C07" w:rsidP="006E5C07">
      <w:pPr>
        <w:spacing w:after="0" w:line="240" w:lineRule="auto"/>
        <w:rPr>
          <w:rFonts w:ascii="Arial" w:eastAsia="Times New Roman" w:hAnsi="Arial" w:cs="Arial"/>
          <w:color w:val="16202C"/>
          <w:sz w:val="20"/>
          <w:szCs w:val="20"/>
        </w:rPr>
      </w:pPr>
      <w:r w:rsidRPr="006E5C07">
        <w:rPr>
          <w:rFonts w:ascii="Arial" w:eastAsia="Times New Roman" w:hAnsi="Arial" w:cs="Arial"/>
          <w:color w:val="16202C"/>
          <w:sz w:val="20"/>
          <w:szCs w:val="20"/>
        </w:rPr>
        <w:t>RNS Number : 8006A</w:t>
      </w:r>
    </w:p>
    <w:p w14:paraId="1772658E" w14:textId="77777777" w:rsidR="006E5C07" w:rsidRPr="006E5C07" w:rsidRDefault="006E5C07" w:rsidP="006E5C07">
      <w:pPr>
        <w:spacing w:after="0" w:line="240" w:lineRule="auto"/>
        <w:rPr>
          <w:rFonts w:ascii="Arial" w:eastAsia="Times New Roman" w:hAnsi="Arial" w:cs="Arial"/>
          <w:color w:val="16202C"/>
          <w:sz w:val="20"/>
          <w:szCs w:val="20"/>
        </w:rPr>
      </w:pPr>
      <w:r w:rsidRPr="006E5C07">
        <w:rPr>
          <w:rFonts w:ascii="Arial" w:eastAsia="Times New Roman" w:hAnsi="Arial" w:cs="Arial"/>
          <w:color w:val="16202C"/>
          <w:sz w:val="20"/>
          <w:szCs w:val="20"/>
        </w:rPr>
        <w:t>SpaceandPeople PLC</w:t>
      </w:r>
    </w:p>
    <w:p w14:paraId="1AAEBA73" w14:textId="77777777" w:rsidR="006E5C07" w:rsidRPr="006E5C07" w:rsidRDefault="006E5C07" w:rsidP="006E5C07">
      <w:pPr>
        <w:spacing w:after="0" w:line="240" w:lineRule="auto"/>
        <w:rPr>
          <w:rFonts w:ascii="Arial" w:eastAsia="Times New Roman" w:hAnsi="Arial" w:cs="Arial"/>
          <w:color w:val="16202C"/>
          <w:sz w:val="20"/>
          <w:szCs w:val="20"/>
        </w:rPr>
      </w:pPr>
      <w:r w:rsidRPr="006E5C07">
        <w:rPr>
          <w:rFonts w:ascii="Arial" w:eastAsia="Times New Roman" w:hAnsi="Arial" w:cs="Arial"/>
          <w:color w:val="16202C"/>
          <w:sz w:val="20"/>
          <w:szCs w:val="20"/>
        </w:rPr>
        <w:t>04 June 2021</w:t>
      </w:r>
    </w:p>
    <w:p w14:paraId="3C339AA8" w14:textId="77777777" w:rsidR="006E5C07" w:rsidRPr="006E5C07" w:rsidRDefault="006E5C07" w:rsidP="006E5C07">
      <w:pPr>
        <w:spacing w:after="0" w:line="240" w:lineRule="auto"/>
        <w:rPr>
          <w:rFonts w:ascii="Arial" w:eastAsia="Times New Roman" w:hAnsi="Arial" w:cs="Arial"/>
          <w:color w:val="16202C"/>
          <w:sz w:val="20"/>
          <w:szCs w:val="20"/>
        </w:rPr>
      </w:pPr>
      <w:r w:rsidRPr="006E5C07">
        <w:rPr>
          <w:rFonts w:ascii="Arial" w:eastAsia="Times New Roman" w:hAnsi="Arial" w:cs="Arial"/>
          <w:color w:val="16202C"/>
          <w:sz w:val="20"/>
          <w:szCs w:val="20"/>
        </w:rPr>
        <w:t> </w:t>
      </w:r>
    </w:p>
    <w:p w14:paraId="22C0E072"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This announcement contains inside information for the purposes of Article 7 of the Market Abuse Regulation (EU) 596/2014 as it forms part of UK domestic law by virtue of the European Union (Withdrawal) Act 2018 ("MAR"), and is disclosed in accordance with the Company's obligations under Article 17 of MAR.</w:t>
      </w:r>
    </w:p>
    <w:p w14:paraId="5C6F3ED8" w14:textId="77777777" w:rsidR="006E5C07" w:rsidRPr="006E5C07" w:rsidRDefault="006E5C07" w:rsidP="006E5C07">
      <w:pPr>
        <w:spacing w:after="200" w:line="253" w:lineRule="atLeast"/>
        <w:jc w:val="center"/>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32CABE9C" w14:textId="77777777" w:rsidR="006E5C07" w:rsidRPr="006E5C07" w:rsidRDefault="006E5C07" w:rsidP="006E5C07">
      <w:pPr>
        <w:spacing w:after="200" w:line="253" w:lineRule="atLeast"/>
        <w:jc w:val="center"/>
        <w:rPr>
          <w:rFonts w:ascii="Calibri" w:eastAsia="Times New Roman" w:hAnsi="Calibri" w:cs="Calibri"/>
          <w:color w:val="16202C"/>
        </w:rPr>
      </w:pPr>
      <w:r w:rsidRPr="006E5C07">
        <w:rPr>
          <w:rFonts w:ascii="Gill Sans MT" w:eastAsia="Times New Roman" w:hAnsi="Gill Sans MT" w:cs="Calibri"/>
          <w:color w:val="16202C"/>
          <w:sz w:val="20"/>
          <w:szCs w:val="20"/>
        </w:rPr>
        <w:t>SpaceandPeople plc</w:t>
      </w:r>
    </w:p>
    <w:p w14:paraId="26FF2DDB" w14:textId="77777777" w:rsidR="006E5C07" w:rsidRPr="006E5C07" w:rsidRDefault="006E5C07" w:rsidP="006E5C07">
      <w:pPr>
        <w:spacing w:after="200" w:line="253" w:lineRule="atLeast"/>
        <w:jc w:val="center"/>
        <w:rPr>
          <w:rFonts w:ascii="Calibri" w:eastAsia="Times New Roman" w:hAnsi="Calibri" w:cs="Calibri"/>
          <w:color w:val="16202C"/>
        </w:rPr>
      </w:pPr>
      <w:r w:rsidRPr="006E5C07">
        <w:rPr>
          <w:rFonts w:ascii="Gill Sans MT" w:eastAsia="Times New Roman" w:hAnsi="Gill Sans MT" w:cs="Calibri"/>
          <w:color w:val="16202C"/>
          <w:sz w:val="20"/>
          <w:szCs w:val="20"/>
        </w:rPr>
        <w:t>("SpaceandPeople" or the "Group")</w:t>
      </w:r>
    </w:p>
    <w:p w14:paraId="268EF377" w14:textId="77777777" w:rsidR="006E5C07" w:rsidRPr="006E5C07" w:rsidRDefault="006E5C07" w:rsidP="006E5C07">
      <w:pPr>
        <w:spacing w:after="200" w:line="253" w:lineRule="atLeast"/>
        <w:jc w:val="center"/>
        <w:rPr>
          <w:rFonts w:ascii="Calibri" w:eastAsia="Times New Roman" w:hAnsi="Calibri" w:cs="Calibri"/>
          <w:b/>
          <w:bCs/>
          <w:color w:val="16202C"/>
        </w:rPr>
      </w:pPr>
      <w:r w:rsidRPr="006E5C07">
        <w:rPr>
          <w:rFonts w:ascii="Gill Sans MT" w:eastAsia="Times New Roman" w:hAnsi="Gill Sans MT" w:cs="Calibri"/>
          <w:b/>
          <w:bCs/>
          <w:color w:val="16202C"/>
          <w:sz w:val="20"/>
          <w:szCs w:val="20"/>
        </w:rPr>
        <w:t>Final Results for the year ended 31 December 2020</w:t>
      </w:r>
    </w:p>
    <w:p w14:paraId="551EEBF4" w14:textId="77777777" w:rsidR="006E5C07" w:rsidRPr="006E5C07" w:rsidRDefault="006E5C07" w:rsidP="006E5C07">
      <w:pPr>
        <w:spacing w:after="200" w:line="253" w:lineRule="atLeast"/>
        <w:rPr>
          <w:rFonts w:ascii="Calibri" w:eastAsia="Times New Roman" w:hAnsi="Calibri" w:cs="Calibri"/>
          <w:color w:val="16202C"/>
        </w:rPr>
      </w:pPr>
      <w:r w:rsidRPr="006E5C07">
        <w:rPr>
          <w:rFonts w:ascii="Calibri" w:eastAsia="Times New Roman" w:hAnsi="Calibri" w:cs="Calibri"/>
          <w:color w:val="16202C"/>
          <w:sz w:val="20"/>
          <w:szCs w:val="20"/>
        </w:rPr>
        <w:t> </w:t>
      </w:r>
    </w:p>
    <w:p w14:paraId="1E4ED3AC" w14:textId="77777777" w:rsidR="006E5C07" w:rsidRPr="006E5C07" w:rsidRDefault="006E5C07" w:rsidP="006E5C07">
      <w:pPr>
        <w:spacing w:after="200" w:line="253" w:lineRule="atLeast"/>
        <w:rPr>
          <w:rFonts w:ascii="Calibri" w:eastAsia="Times New Roman" w:hAnsi="Calibri" w:cs="Calibri"/>
          <w:color w:val="16202C"/>
        </w:rPr>
      </w:pPr>
      <w:r w:rsidRPr="006E5C07">
        <w:rPr>
          <w:rFonts w:ascii="Gill Sans MT" w:eastAsia="Times New Roman" w:hAnsi="Gill Sans MT" w:cs="Calibri"/>
          <w:color w:val="16202C"/>
          <w:sz w:val="20"/>
          <w:szCs w:val="20"/>
        </w:rPr>
        <w:t>SpaceandPeople (AIM:SAL) the retail, promotional and brand experience specialist, is pleased to announce its final results for the year ended 31 December 2019. </w:t>
      </w:r>
    </w:p>
    <w:p w14:paraId="511B33C4" w14:textId="77777777" w:rsidR="006E5C07" w:rsidRPr="006E5C07" w:rsidRDefault="006E5C07" w:rsidP="006E5C07">
      <w:pPr>
        <w:spacing w:after="200" w:line="253" w:lineRule="atLeast"/>
        <w:rPr>
          <w:rFonts w:ascii="Calibri" w:eastAsia="Times New Roman" w:hAnsi="Calibri" w:cs="Calibri"/>
          <w:b/>
          <w:bCs/>
          <w:color w:val="16202C"/>
        </w:rPr>
      </w:pPr>
      <w:r w:rsidRPr="006E5C07">
        <w:rPr>
          <w:rFonts w:ascii="Gill Sans MT" w:eastAsia="Times New Roman" w:hAnsi="Gill Sans MT" w:cs="Calibri"/>
          <w:b/>
          <w:bCs/>
          <w:color w:val="16202C"/>
          <w:sz w:val="20"/>
          <w:szCs w:val="20"/>
        </w:rPr>
        <w:t> </w:t>
      </w:r>
    </w:p>
    <w:p w14:paraId="1B9DCE95" w14:textId="77777777" w:rsidR="006E5C07" w:rsidRPr="006E5C07" w:rsidRDefault="006E5C07" w:rsidP="006E5C07">
      <w:pPr>
        <w:spacing w:after="200" w:line="253" w:lineRule="atLeast"/>
        <w:rPr>
          <w:rFonts w:ascii="Calibri" w:eastAsia="Times New Roman" w:hAnsi="Calibri" w:cs="Calibri"/>
          <w:b/>
          <w:bCs/>
          <w:color w:val="16202C"/>
        </w:rPr>
      </w:pPr>
      <w:r w:rsidRPr="006E5C07">
        <w:rPr>
          <w:rFonts w:ascii="Gill Sans MT" w:eastAsia="Times New Roman" w:hAnsi="Gill Sans MT" w:cs="Calibri"/>
          <w:b/>
          <w:bCs/>
          <w:color w:val="16202C"/>
          <w:sz w:val="20"/>
          <w:szCs w:val="20"/>
        </w:rPr>
        <w:t>Financial Highlights</w:t>
      </w:r>
    </w:p>
    <w:p w14:paraId="100ADE95" w14:textId="77777777" w:rsidR="006E5C07" w:rsidRPr="006E5C07" w:rsidRDefault="006E5C07" w:rsidP="006E5C07">
      <w:pPr>
        <w:spacing w:after="0" w:line="253" w:lineRule="atLeast"/>
        <w:ind w:left="1866" w:hanging="426"/>
        <w:rPr>
          <w:rFonts w:ascii="Calibri" w:eastAsia="Times New Roman" w:hAnsi="Calibri" w:cs="Calibri"/>
          <w:color w:val="16202C"/>
        </w:rPr>
      </w:pPr>
      <w:r w:rsidRPr="006E5C07">
        <w:rPr>
          <w:rFonts w:ascii="Symbol" w:eastAsia="Times New Roman" w:hAnsi="Symbol" w:cs="Calibri"/>
          <w:color w:val="16202C"/>
          <w:sz w:val="20"/>
          <w:szCs w:val="20"/>
        </w:rPr>
        <w:t>·       </w:t>
      </w:r>
      <w:r w:rsidRPr="006E5C07">
        <w:rPr>
          <w:rFonts w:ascii="Gill Sans MT" w:eastAsia="Times New Roman" w:hAnsi="Gill Sans MT" w:cs="Calibri"/>
          <w:color w:val="16202C"/>
          <w:sz w:val="20"/>
          <w:szCs w:val="20"/>
        </w:rPr>
        <w:t>Revenue of £2.8 million (2019: restated £7.7 million)</w:t>
      </w:r>
    </w:p>
    <w:p w14:paraId="0C09B34D" w14:textId="77777777" w:rsidR="006E5C07" w:rsidRPr="006E5C07" w:rsidRDefault="006E5C07" w:rsidP="006E5C07">
      <w:pPr>
        <w:spacing w:after="0" w:line="253" w:lineRule="atLeast"/>
        <w:ind w:left="1866" w:hanging="426"/>
        <w:rPr>
          <w:rFonts w:ascii="Calibri" w:eastAsia="Times New Roman" w:hAnsi="Calibri" w:cs="Calibri"/>
          <w:color w:val="16202C"/>
        </w:rPr>
      </w:pPr>
      <w:r w:rsidRPr="006E5C07">
        <w:rPr>
          <w:rFonts w:ascii="Symbol" w:eastAsia="Times New Roman" w:hAnsi="Symbol" w:cs="Calibri"/>
          <w:color w:val="16202C"/>
          <w:sz w:val="20"/>
          <w:szCs w:val="20"/>
        </w:rPr>
        <w:t>·       </w:t>
      </w:r>
      <w:r w:rsidRPr="006E5C07">
        <w:rPr>
          <w:rFonts w:ascii="Gill Sans MT" w:eastAsia="Times New Roman" w:hAnsi="Gill Sans MT" w:cs="Calibri"/>
          <w:color w:val="16202C"/>
          <w:sz w:val="20"/>
          <w:szCs w:val="20"/>
        </w:rPr>
        <w:t>Operating loss before non-recurring costs of £2.1 million (2019: restated profit of £0.1 million)</w:t>
      </w:r>
    </w:p>
    <w:p w14:paraId="6B305B26" w14:textId="77777777" w:rsidR="006E5C07" w:rsidRPr="006E5C07" w:rsidRDefault="006E5C07" w:rsidP="006E5C07">
      <w:pPr>
        <w:spacing w:after="0" w:line="253" w:lineRule="atLeast"/>
        <w:ind w:left="1866" w:hanging="426"/>
        <w:rPr>
          <w:rFonts w:ascii="Calibri" w:eastAsia="Times New Roman" w:hAnsi="Calibri" w:cs="Calibri"/>
          <w:color w:val="16202C"/>
        </w:rPr>
      </w:pPr>
      <w:r w:rsidRPr="006E5C07">
        <w:rPr>
          <w:rFonts w:ascii="Symbol" w:eastAsia="Times New Roman" w:hAnsi="Symbol" w:cs="Calibri"/>
          <w:color w:val="16202C"/>
          <w:sz w:val="20"/>
          <w:szCs w:val="20"/>
        </w:rPr>
        <w:t>·       </w:t>
      </w:r>
      <w:r w:rsidRPr="006E5C07">
        <w:rPr>
          <w:rFonts w:ascii="Gill Sans MT" w:eastAsia="Times New Roman" w:hAnsi="Gill Sans MT" w:cs="Calibri"/>
          <w:color w:val="16202C"/>
          <w:sz w:val="20"/>
          <w:szCs w:val="20"/>
        </w:rPr>
        <w:t>Basic Earnings per Share before non-recurring costs and discontinued operation loss of 7.2p (2019: restated profit of 0.3p)</w:t>
      </w:r>
    </w:p>
    <w:p w14:paraId="3925BA44" w14:textId="77777777" w:rsidR="006E5C07" w:rsidRPr="006E5C07" w:rsidRDefault="006E5C07" w:rsidP="006E5C07">
      <w:pPr>
        <w:spacing w:after="200" w:line="253" w:lineRule="atLeast"/>
        <w:ind w:left="1866" w:hanging="426"/>
        <w:rPr>
          <w:rFonts w:ascii="Calibri" w:eastAsia="Times New Roman" w:hAnsi="Calibri" w:cs="Calibri"/>
          <w:color w:val="16202C"/>
        </w:rPr>
      </w:pPr>
      <w:r w:rsidRPr="006E5C07">
        <w:rPr>
          <w:rFonts w:ascii="Symbol" w:eastAsia="Times New Roman" w:hAnsi="Symbol" w:cs="Calibri"/>
          <w:color w:val="16202C"/>
          <w:sz w:val="20"/>
          <w:szCs w:val="20"/>
        </w:rPr>
        <w:t>·       </w:t>
      </w:r>
      <w:r w:rsidRPr="006E5C07">
        <w:rPr>
          <w:rFonts w:ascii="Gill Sans MT" w:eastAsia="Times New Roman" w:hAnsi="Gill Sans MT" w:cs="Calibri"/>
          <w:color w:val="16202C"/>
          <w:sz w:val="20"/>
          <w:szCs w:val="20"/>
        </w:rPr>
        <w:t>Borrowings net of cash at year end of £0.9 million with additional available facilities of £1.3 million (2019: net cash of £0.5 million)</w:t>
      </w:r>
    </w:p>
    <w:p w14:paraId="7767871C"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59B73727" w14:textId="77777777" w:rsidR="006E5C07" w:rsidRPr="006E5C07" w:rsidRDefault="006E5C07" w:rsidP="006E5C07">
      <w:pPr>
        <w:spacing w:after="200" w:line="253" w:lineRule="atLeast"/>
        <w:rPr>
          <w:rFonts w:ascii="Calibri" w:eastAsia="Times New Roman" w:hAnsi="Calibri" w:cs="Calibri"/>
          <w:b/>
          <w:bCs/>
          <w:color w:val="16202C"/>
        </w:rPr>
      </w:pPr>
      <w:r w:rsidRPr="006E5C07">
        <w:rPr>
          <w:rFonts w:ascii="Gill Sans MT" w:eastAsia="Times New Roman" w:hAnsi="Gill Sans MT" w:cs="Calibri"/>
          <w:b/>
          <w:bCs/>
          <w:color w:val="16202C"/>
          <w:sz w:val="20"/>
          <w:szCs w:val="20"/>
        </w:rPr>
        <w:t>Operational Highlights</w:t>
      </w:r>
    </w:p>
    <w:p w14:paraId="64CBC847" w14:textId="77777777" w:rsidR="006E5C07" w:rsidRPr="006E5C07" w:rsidRDefault="006E5C07" w:rsidP="006E5C07">
      <w:pPr>
        <w:spacing w:after="0" w:line="253" w:lineRule="atLeast"/>
        <w:ind w:left="1866" w:hanging="426"/>
        <w:rPr>
          <w:rFonts w:ascii="Calibri" w:eastAsia="Times New Roman" w:hAnsi="Calibri" w:cs="Calibri"/>
          <w:color w:val="16202C"/>
        </w:rPr>
      </w:pPr>
      <w:r w:rsidRPr="006E5C07">
        <w:rPr>
          <w:rFonts w:ascii="Symbol" w:eastAsia="Times New Roman" w:hAnsi="Symbol" w:cs="Calibri"/>
          <w:color w:val="16202C"/>
          <w:sz w:val="20"/>
          <w:szCs w:val="20"/>
        </w:rPr>
        <w:t>·       </w:t>
      </w:r>
      <w:r w:rsidRPr="006E5C07">
        <w:rPr>
          <w:rFonts w:ascii="Gill Sans MT" w:eastAsia="Times New Roman" w:hAnsi="Gill Sans MT" w:cs="Calibri"/>
          <w:color w:val="16202C"/>
          <w:sz w:val="20"/>
          <w:szCs w:val="20"/>
        </w:rPr>
        <w:t>Nancy Cullen appointed as Chief Executive Officer</w:t>
      </w:r>
    </w:p>
    <w:p w14:paraId="78CF4852" w14:textId="77777777" w:rsidR="006E5C07" w:rsidRPr="006E5C07" w:rsidRDefault="006E5C07" w:rsidP="006E5C07">
      <w:pPr>
        <w:spacing w:after="0" w:line="253" w:lineRule="atLeast"/>
        <w:ind w:left="1866" w:hanging="426"/>
        <w:rPr>
          <w:rFonts w:ascii="Calibri" w:eastAsia="Times New Roman" w:hAnsi="Calibri" w:cs="Calibri"/>
          <w:color w:val="16202C"/>
        </w:rPr>
      </w:pPr>
      <w:r w:rsidRPr="006E5C07">
        <w:rPr>
          <w:rFonts w:ascii="Symbol" w:eastAsia="Times New Roman" w:hAnsi="Symbol" w:cs="Calibri"/>
          <w:color w:val="16202C"/>
          <w:sz w:val="20"/>
          <w:szCs w:val="20"/>
        </w:rPr>
        <w:t>·       </w:t>
      </w:r>
      <w:r w:rsidRPr="006E5C07">
        <w:rPr>
          <w:rFonts w:ascii="Gill Sans MT" w:eastAsia="Times New Roman" w:hAnsi="Gill Sans MT" w:cs="Calibri"/>
          <w:color w:val="16202C"/>
          <w:sz w:val="20"/>
          <w:szCs w:val="20"/>
        </w:rPr>
        <w:t>Extended periods of lockdown in the UK and Germany had a fundamental impact on trading during the year</w:t>
      </w:r>
    </w:p>
    <w:p w14:paraId="43166DA5" w14:textId="77777777" w:rsidR="006E5C07" w:rsidRPr="006E5C07" w:rsidRDefault="006E5C07" w:rsidP="006E5C07">
      <w:pPr>
        <w:spacing w:after="0" w:line="253" w:lineRule="atLeast"/>
        <w:ind w:left="1866" w:hanging="426"/>
        <w:rPr>
          <w:rFonts w:ascii="Calibri" w:eastAsia="Times New Roman" w:hAnsi="Calibri" w:cs="Calibri"/>
          <w:color w:val="16202C"/>
        </w:rPr>
      </w:pPr>
      <w:r w:rsidRPr="006E5C07">
        <w:rPr>
          <w:rFonts w:ascii="Symbol" w:eastAsia="Times New Roman" w:hAnsi="Symbol" w:cs="Calibri"/>
          <w:color w:val="16202C"/>
          <w:sz w:val="20"/>
          <w:szCs w:val="20"/>
        </w:rPr>
        <w:t>·       </w:t>
      </w:r>
      <w:r w:rsidRPr="006E5C07">
        <w:rPr>
          <w:rFonts w:ascii="Gill Sans MT" w:eastAsia="Times New Roman" w:hAnsi="Gill Sans MT" w:cs="Calibri"/>
          <w:color w:val="16202C"/>
          <w:sz w:val="20"/>
          <w:szCs w:val="20"/>
        </w:rPr>
        <w:t>£1.0 million CBILS term loan obtained in the first half of 2020</w:t>
      </w:r>
    </w:p>
    <w:p w14:paraId="4E793685" w14:textId="77777777" w:rsidR="006E5C07" w:rsidRPr="006E5C07" w:rsidRDefault="006E5C07" w:rsidP="006E5C07">
      <w:pPr>
        <w:spacing w:after="200" w:line="253" w:lineRule="atLeast"/>
        <w:ind w:left="1866" w:hanging="426"/>
        <w:rPr>
          <w:rFonts w:ascii="Calibri" w:eastAsia="Times New Roman" w:hAnsi="Calibri" w:cs="Calibri"/>
          <w:color w:val="16202C"/>
        </w:rPr>
      </w:pPr>
      <w:r w:rsidRPr="006E5C07">
        <w:rPr>
          <w:rFonts w:ascii="Symbol" w:eastAsia="Times New Roman" w:hAnsi="Symbol" w:cs="Calibri"/>
          <w:color w:val="16202C"/>
          <w:sz w:val="20"/>
          <w:szCs w:val="20"/>
        </w:rPr>
        <w:t>·       </w:t>
      </w:r>
      <w:r w:rsidRPr="006E5C07">
        <w:rPr>
          <w:rFonts w:ascii="Gill Sans MT" w:eastAsia="Times New Roman" w:hAnsi="Gill Sans MT" w:cs="Calibri"/>
          <w:color w:val="16202C"/>
          <w:sz w:val="20"/>
          <w:szCs w:val="20"/>
        </w:rPr>
        <w:t>Significant new business agreements won for former Intu venues</w:t>
      </w:r>
    </w:p>
    <w:p w14:paraId="1B2D7585"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3A0223B1" w14:textId="77777777" w:rsidR="006E5C07" w:rsidRPr="006E5C07" w:rsidRDefault="006E5C07" w:rsidP="006E5C07">
      <w:pPr>
        <w:spacing w:after="200" w:line="253" w:lineRule="atLeast"/>
        <w:rPr>
          <w:rFonts w:ascii="Calibri" w:eastAsia="Times New Roman" w:hAnsi="Calibri" w:cs="Calibri"/>
          <w:b/>
          <w:bCs/>
          <w:color w:val="16202C"/>
        </w:rPr>
      </w:pPr>
      <w:r w:rsidRPr="006E5C07">
        <w:rPr>
          <w:rFonts w:ascii="Gill Sans MT" w:eastAsia="Times New Roman" w:hAnsi="Gill Sans MT" w:cs="Calibri"/>
          <w:b/>
          <w:bCs/>
          <w:color w:val="16202C"/>
          <w:sz w:val="20"/>
          <w:szCs w:val="20"/>
        </w:rPr>
        <w:t>Post Year End Highlights</w:t>
      </w:r>
    </w:p>
    <w:p w14:paraId="7F2015DD" w14:textId="77777777" w:rsidR="006E5C07" w:rsidRPr="006E5C07" w:rsidRDefault="006E5C07" w:rsidP="006E5C07">
      <w:pPr>
        <w:spacing w:after="0" w:line="253" w:lineRule="atLeast"/>
        <w:ind w:left="1866" w:hanging="426"/>
        <w:rPr>
          <w:rFonts w:ascii="Calibri" w:eastAsia="Times New Roman" w:hAnsi="Calibri" w:cs="Calibri"/>
          <w:color w:val="16202C"/>
        </w:rPr>
      </w:pPr>
      <w:r w:rsidRPr="006E5C07">
        <w:rPr>
          <w:rFonts w:ascii="Symbol" w:eastAsia="Times New Roman" w:hAnsi="Symbol" w:cs="Calibri"/>
          <w:color w:val="16202C"/>
          <w:sz w:val="20"/>
          <w:szCs w:val="20"/>
        </w:rPr>
        <w:t>·       </w:t>
      </w:r>
      <w:r w:rsidRPr="006E5C07">
        <w:rPr>
          <w:rFonts w:ascii="Gill Sans MT" w:eastAsia="Times New Roman" w:hAnsi="Gill Sans MT" w:cs="Calibri"/>
          <w:color w:val="16202C"/>
          <w:sz w:val="20"/>
          <w:szCs w:val="20"/>
        </w:rPr>
        <w:t>Further lockdowns in the UK and Germany continuing to have an impact on trading</w:t>
      </w:r>
    </w:p>
    <w:p w14:paraId="0CF3B3F4" w14:textId="77777777" w:rsidR="006E5C07" w:rsidRPr="006E5C07" w:rsidRDefault="006E5C07" w:rsidP="006E5C07">
      <w:pPr>
        <w:spacing w:after="0" w:line="253" w:lineRule="atLeast"/>
        <w:ind w:left="1866" w:hanging="426"/>
        <w:rPr>
          <w:rFonts w:ascii="Calibri" w:eastAsia="Times New Roman" w:hAnsi="Calibri" w:cs="Calibri"/>
          <w:color w:val="16202C"/>
        </w:rPr>
      </w:pPr>
      <w:r w:rsidRPr="006E5C07">
        <w:rPr>
          <w:rFonts w:ascii="Symbol" w:eastAsia="Times New Roman" w:hAnsi="Symbol" w:cs="Calibri"/>
          <w:color w:val="16202C"/>
          <w:sz w:val="20"/>
          <w:szCs w:val="20"/>
        </w:rPr>
        <w:t>·       </w:t>
      </w:r>
      <w:r w:rsidRPr="006E5C07">
        <w:rPr>
          <w:rFonts w:ascii="Gill Sans MT" w:eastAsia="Times New Roman" w:hAnsi="Gill Sans MT" w:cs="Calibri"/>
          <w:color w:val="16202C"/>
          <w:sz w:val="20"/>
          <w:szCs w:val="20"/>
        </w:rPr>
        <w:t>Long term refinancing of business secured using additional government CBILS lending</w:t>
      </w:r>
    </w:p>
    <w:p w14:paraId="7C4B4412" w14:textId="77777777" w:rsidR="006E5C07" w:rsidRPr="006E5C07" w:rsidRDefault="006E5C07" w:rsidP="006E5C07">
      <w:pPr>
        <w:spacing w:after="0" w:line="253" w:lineRule="atLeast"/>
        <w:ind w:left="1866" w:hanging="426"/>
        <w:rPr>
          <w:rFonts w:ascii="Calibri" w:eastAsia="Times New Roman" w:hAnsi="Calibri" w:cs="Calibri"/>
          <w:color w:val="16202C"/>
        </w:rPr>
      </w:pPr>
      <w:r w:rsidRPr="006E5C07">
        <w:rPr>
          <w:rFonts w:ascii="Symbol" w:eastAsia="Times New Roman" w:hAnsi="Symbol" w:cs="Calibri"/>
          <w:color w:val="16202C"/>
          <w:sz w:val="20"/>
          <w:szCs w:val="20"/>
        </w:rPr>
        <w:t>·       </w:t>
      </w:r>
      <w:r w:rsidRPr="006E5C07">
        <w:rPr>
          <w:rFonts w:ascii="Gill Sans MT" w:eastAsia="Times New Roman" w:hAnsi="Gill Sans MT" w:cs="Calibri"/>
          <w:color w:val="16202C"/>
          <w:sz w:val="20"/>
          <w:szCs w:val="20"/>
        </w:rPr>
        <w:t>Extension of major Landsec agreement in the UK</w:t>
      </w:r>
    </w:p>
    <w:p w14:paraId="6E7F5BB9" w14:textId="77777777" w:rsidR="006E5C07" w:rsidRPr="006E5C07" w:rsidRDefault="006E5C07" w:rsidP="006E5C07">
      <w:pPr>
        <w:spacing w:after="200" w:line="253" w:lineRule="atLeast"/>
        <w:ind w:left="1866" w:hanging="426"/>
        <w:rPr>
          <w:rFonts w:ascii="Calibri" w:eastAsia="Times New Roman" w:hAnsi="Calibri" w:cs="Calibri"/>
          <w:color w:val="16202C"/>
        </w:rPr>
      </w:pPr>
      <w:r w:rsidRPr="006E5C07">
        <w:rPr>
          <w:rFonts w:ascii="Symbol" w:eastAsia="Times New Roman" w:hAnsi="Symbol" w:cs="Calibri"/>
          <w:color w:val="16202C"/>
          <w:sz w:val="20"/>
          <w:szCs w:val="20"/>
        </w:rPr>
        <w:t>·       </w:t>
      </w:r>
      <w:r w:rsidRPr="006E5C07">
        <w:rPr>
          <w:rFonts w:ascii="Gill Sans MT" w:eastAsia="Times New Roman" w:hAnsi="Gill Sans MT" w:cs="Calibri"/>
          <w:color w:val="16202C"/>
          <w:sz w:val="20"/>
          <w:szCs w:val="20"/>
        </w:rPr>
        <w:t>Improved new five-year agreement with ECE in Germany</w:t>
      </w:r>
    </w:p>
    <w:p w14:paraId="26EECBB5"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3209B034" w14:textId="77777777" w:rsidR="006E5C07" w:rsidRPr="006E5C07" w:rsidRDefault="006E5C07" w:rsidP="006E5C07">
      <w:pPr>
        <w:spacing w:after="0" w:line="240" w:lineRule="auto"/>
        <w:rPr>
          <w:rFonts w:ascii="Calibri" w:eastAsia="Times New Roman" w:hAnsi="Calibri" w:cs="Calibri"/>
          <w:color w:val="16202C"/>
          <w:u w:val="single"/>
        </w:rPr>
      </w:pPr>
      <w:r w:rsidRPr="006E5C07">
        <w:rPr>
          <w:rFonts w:ascii="Gill Sans MT" w:eastAsia="Times New Roman" w:hAnsi="Gill Sans MT" w:cs="Calibri"/>
          <w:color w:val="16202C"/>
          <w:sz w:val="20"/>
          <w:szCs w:val="20"/>
          <w:u w:val="single"/>
        </w:rPr>
        <w:lastRenderedPageBreak/>
        <w:t>Chairman's Statement</w:t>
      </w:r>
    </w:p>
    <w:p w14:paraId="38B97F60"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3F586077"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There has not been a more turbulent period for the markets in which we operate than the one we have faced since March 2020 and this is reflected in the financial performance of the business in the year ended 31 December 2020 and continues into the 2021 financial year.  It is through the hard work and resilience of all of our staff and management that SpaceandPeople has not only survived these difficult market conditions, but has actually built a stronger base as we hopefully head into a period of more stability and economic recovery.</w:t>
      </w:r>
    </w:p>
    <w:p w14:paraId="3C797FDC"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The hard decisions have been made and actions taken to ensure costs have been aligned to new operating levels and cash conserved.  SpaceandPeople India has been exited and a significant non-cash write down of Retail Profile's goodwill made to reflect the new environment.</w:t>
      </w:r>
    </w:p>
    <w:p w14:paraId="1C2AF177"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However, new contract wins in the UK, particularly of many former Intu venues and the recently announced extension and expansion of the ECE contract in Germany, together with the successful re-financing of the Group's borrowing facilities, provide confidence in the future of the business. </w:t>
      </w:r>
    </w:p>
    <w:p w14:paraId="367E3434"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These developments and the financial performance of the Group are covered in more detail in Nancy Cullen's CEO Report and Gregor Dunlay's Operating and Financial Review.</w:t>
      </w:r>
    </w:p>
    <w:p w14:paraId="22A57DCB"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This is Nancy's first report as CEO and I would like to take this opportunity to record the Board's appreciation of her predecessor, Matthew Bending.  Matthew made an immense contribution to the Group over 20 years and his dedication and passion helped build the business including its expansion into Germany.  We wish him well for the future.</w:t>
      </w:r>
    </w:p>
    <w:p w14:paraId="41D7927D"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There were two other Board changes in the year.  Graham Bird joined as a non-executive director and his experience has been very useful through the Covid-19 pandemic.  Andrew Keiller stepped up to the Board and was promoted to Chief Operating Officer during the year and is a key member of the senior executive management team alongside Nancy and Gregor.</w:t>
      </w:r>
    </w:p>
    <w:p w14:paraId="061B92AA"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Finally, on behalf of my Board colleagues, I would like to thank all of our staff and management across the business for their hard work and resilience in 2020 and their continued commitment to the Group in the year ahead.</w:t>
      </w:r>
    </w:p>
    <w:p w14:paraId="6AD641A5"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38A1587E"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20CCB5DD"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20"/>
          <w:szCs w:val="20"/>
        </w:rPr>
        <w:t>George Watt</w:t>
      </w:r>
    </w:p>
    <w:p w14:paraId="68699BD3"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20"/>
          <w:szCs w:val="20"/>
        </w:rPr>
        <w:t>Chairman</w:t>
      </w:r>
    </w:p>
    <w:p w14:paraId="368BE4DD"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20"/>
          <w:szCs w:val="20"/>
        </w:rPr>
        <w:t>3 June 2021</w:t>
      </w:r>
    </w:p>
    <w:p w14:paraId="2FD7CBC0"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04B059F3"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7C77608B" w14:textId="77777777" w:rsidR="006E5C07" w:rsidRPr="006E5C07" w:rsidRDefault="006E5C07" w:rsidP="006E5C07">
      <w:pPr>
        <w:spacing w:after="0" w:line="240" w:lineRule="auto"/>
        <w:rPr>
          <w:rFonts w:ascii="Calibri" w:eastAsia="Times New Roman" w:hAnsi="Calibri" w:cs="Calibri"/>
          <w:color w:val="16202C"/>
          <w:u w:val="single"/>
        </w:rPr>
      </w:pPr>
      <w:r w:rsidRPr="006E5C07">
        <w:rPr>
          <w:rFonts w:ascii="Gill Sans MT" w:eastAsia="Times New Roman" w:hAnsi="Gill Sans MT" w:cs="Calibri"/>
          <w:color w:val="16202C"/>
          <w:sz w:val="20"/>
          <w:szCs w:val="20"/>
          <w:u w:val="single"/>
        </w:rPr>
        <w:t>Chief Executive Officer's Review</w:t>
      </w:r>
    </w:p>
    <w:p w14:paraId="0ABFA737"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757EA00D"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20"/>
          <w:szCs w:val="20"/>
        </w:rPr>
        <w:t>Introduction</w:t>
      </w:r>
    </w:p>
    <w:p w14:paraId="15CEFFF9"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20"/>
          <w:szCs w:val="20"/>
        </w:rPr>
        <w:t> </w:t>
      </w:r>
    </w:p>
    <w:p w14:paraId="413EA0A4"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The events of 2020, caused by Covid-19, had a profound effect on the world and our business was impacted significantly by the pandemic and the associated periods of lockdown across the countries in which we operate.  Since I wrote my report in the Interim Financial Statements, lockdowns have continued to be a huge impediment to our ability to carry out our business.  It is fair to say that steering the Group through this is not how I would have ideally liked to begin as CEO, however, it has been extremely encouraging to see how well our staff, clients, business partners and promoters have responded to the unprecedented challenges and I am extremely grateful for their ongoing help and support.</w:t>
      </w:r>
    </w:p>
    <w:p w14:paraId="1AA57B5D"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597A52B6"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 xml:space="preserve">As we have previously discussed, since the start of the Covid-19 pandemic and the first announcement of retail closures in March 2020 there has been a major effect on our business, the consequences of which were felt </w:t>
      </w:r>
      <w:r w:rsidRPr="006E5C07">
        <w:rPr>
          <w:rFonts w:ascii="Gill Sans MT" w:eastAsia="Times New Roman" w:hAnsi="Gill Sans MT" w:cs="Calibri"/>
          <w:color w:val="16202C"/>
          <w:sz w:val="20"/>
          <w:szCs w:val="20"/>
        </w:rPr>
        <w:lastRenderedPageBreak/>
        <w:t>throughout the year, even during periods when restrictions were eased and business was back up and running.  Buyer uncertainty regarding future lockdowns and differing rules by nation led to a patchy and inconsistent return to business during the year.  Whenever lockdown was eased, trading in centres was difficult and limited by social distancing.  The effects of the pandemic were felt across all our venues in both the UK and Germany.</w:t>
      </w:r>
    </w:p>
    <w:p w14:paraId="44C3E53C"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2A3E15D3"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Throughout, the safety and security of our staff has been paramount and we quickly and successfully  managed the transition from being an office-based company to working from home with the appropriate support for staff in place.  Over this period, we adopted a three-phase strategy "Survive, Revive, Thrive" and I am delighted that we are now coming out of the Revive phase and looking to capitalise on an evolving market with plenty of opportunities for growth.  We have refocused our business to ensure that our clients remain absolutely at the centre of everything we do whilst keeping the Group strong, focused, relevant, and secure.</w:t>
      </w:r>
    </w:p>
    <w:p w14:paraId="2AD81020"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3DEF789D" w14:textId="77777777" w:rsidR="006E5C07" w:rsidRPr="006E5C07" w:rsidRDefault="006E5C07" w:rsidP="006E5C07">
      <w:pPr>
        <w:spacing w:after="0" w:line="253" w:lineRule="atLeast"/>
        <w:jc w:val="both"/>
        <w:rPr>
          <w:rFonts w:ascii="Calibri" w:eastAsia="Times New Roman" w:hAnsi="Calibri" w:cs="Calibri"/>
          <w:b/>
          <w:bCs/>
          <w:color w:val="16202C"/>
        </w:rPr>
      </w:pPr>
      <w:r w:rsidRPr="006E5C07">
        <w:rPr>
          <w:rFonts w:ascii="Gill Sans MT" w:eastAsia="Times New Roman" w:hAnsi="Gill Sans MT" w:cs="Calibri"/>
          <w:b/>
          <w:bCs/>
          <w:color w:val="16202C"/>
          <w:sz w:val="20"/>
          <w:szCs w:val="20"/>
        </w:rPr>
        <w:t>Reorganisation</w:t>
      </w:r>
    </w:p>
    <w:p w14:paraId="26F2E279"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4EE701B7"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As previously reported in the 2019 Annual Report and 2020 Interim Report, SpaceandPeople took early and decisive action to protect against the inevitable cashflow issues caused by the pandemic. The key elements of this were:</w:t>
      </w:r>
    </w:p>
    <w:p w14:paraId="0F39A772"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31D96B59" w14:textId="77777777" w:rsidR="006E5C07" w:rsidRPr="006E5C07" w:rsidRDefault="006E5C07" w:rsidP="006E5C07">
      <w:pPr>
        <w:spacing w:after="0" w:line="253" w:lineRule="atLeast"/>
        <w:ind w:left="2160" w:hanging="360"/>
        <w:jc w:val="both"/>
        <w:textAlignment w:val="baseline"/>
        <w:rPr>
          <w:rFonts w:ascii="Calibri" w:eastAsia="Times New Roman" w:hAnsi="Calibri" w:cs="Calibri"/>
          <w:color w:val="16202C"/>
        </w:rPr>
      </w:pPr>
      <w:r w:rsidRPr="006E5C07">
        <w:rPr>
          <w:rFonts w:ascii="Symbol" w:eastAsia="Times New Roman" w:hAnsi="Symbol" w:cs="Calibri"/>
          <w:color w:val="16202C"/>
        </w:rPr>
        <w:t>·    </w:t>
      </w:r>
      <w:r w:rsidRPr="006E5C07">
        <w:rPr>
          <w:rFonts w:ascii="Gill Sans MT" w:eastAsia="Times New Roman" w:hAnsi="Gill Sans MT" w:cs="Calibri"/>
          <w:b/>
          <w:bCs/>
          <w:color w:val="16202C"/>
          <w:sz w:val="20"/>
          <w:szCs w:val="20"/>
        </w:rPr>
        <w:t>Secure appropriate funding -</w:t>
      </w:r>
      <w:r w:rsidRPr="006E5C07">
        <w:rPr>
          <w:rFonts w:ascii="Gill Sans MT" w:eastAsia="Times New Roman" w:hAnsi="Gill Sans MT" w:cs="Calibri"/>
          <w:color w:val="16202C"/>
          <w:sz w:val="20"/>
          <w:szCs w:val="20"/>
        </w:rPr>
        <w:t> In April 2020, we secured a £1 million CBILS term loan through our principal banking partner in addition to our existing lending facilities. This allowed the business to plan how to trade through and plan for the emergence from the initial periods of lockdown. As the third period of lockdown loomed, we worked with our lenders again to secure an additional £0.5 million of lending and refinanced our previous facilities that were due to mature in 2021 on a more long-term basis. This has ensured that we continue to have good cash headroom in the business and have been able to meet our liabilities as they become due;</w:t>
      </w:r>
    </w:p>
    <w:p w14:paraId="7CF8123D" w14:textId="77777777" w:rsidR="006E5C07" w:rsidRPr="006E5C07" w:rsidRDefault="006E5C07" w:rsidP="006E5C07">
      <w:pPr>
        <w:spacing w:after="0" w:line="253" w:lineRule="atLeast"/>
        <w:ind w:left="2160"/>
        <w:jc w:val="both"/>
        <w:rPr>
          <w:rFonts w:ascii="Calibri" w:eastAsia="Times New Roman" w:hAnsi="Calibri" w:cs="Calibri"/>
          <w:color w:val="16202C"/>
        </w:rPr>
      </w:pPr>
      <w:r w:rsidRPr="006E5C07">
        <w:rPr>
          <w:rFonts w:ascii="Calibri" w:eastAsia="Times New Roman" w:hAnsi="Calibri" w:cs="Calibri"/>
          <w:color w:val="16202C"/>
        </w:rPr>
        <w:t> </w:t>
      </w:r>
    </w:p>
    <w:p w14:paraId="53E0B75A" w14:textId="77777777" w:rsidR="006E5C07" w:rsidRPr="006E5C07" w:rsidRDefault="006E5C07" w:rsidP="006E5C07">
      <w:pPr>
        <w:spacing w:after="0" w:line="253" w:lineRule="atLeast"/>
        <w:ind w:left="2160" w:hanging="360"/>
        <w:jc w:val="both"/>
        <w:textAlignment w:val="baseline"/>
        <w:rPr>
          <w:rFonts w:ascii="Calibri" w:eastAsia="Times New Roman" w:hAnsi="Calibri" w:cs="Calibri"/>
          <w:color w:val="16202C"/>
        </w:rPr>
      </w:pPr>
      <w:r w:rsidRPr="006E5C07">
        <w:rPr>
          <w:rFonts w:ascii="Symbol" w:eastAsia="Times New Roman" w:hAnsi="Symbol" w:cs="Calibri"/>
          <w:color w:val="16202C"/>
        </w:rPr>
        <w:t>·    </w:t>
      </w:r>
      <w:r w:rsidRPr="006E5C07">
        <w:rPr>
          <w:rFonts w:ascii="Gill Sans MT" w:eastAsia="Times New Roman" w:hAnsi="Gill Sans MT" w:cs="Calibri"/>
          <w:b/>
          <w:bCs/>
          <w:color w:val="16202C"/>
          <w:sz w:val="20"/>
          <w:szCs w:val="20"/>
        </w:rPr>
        <w:t>Utilise government support -</w:t>
      </w:r>
      <w:r w:rsidRPr="006E5C07">
        <w:rPr>
          <w:rFonts w:ascii="Gill Sans MT" w:eastAsia="Times New Roman" w:hAnsi="Gill Sans MT" w:cs="Calibri"/>
          <w:color w:val="16202C"/>
          <w:sz w:val="20"/>
          <w:szCs w:val="20"/>
        </w:rPr>
        <w:t> In both the UK and Germany, we have used the appropriate government salary support schemes wherever possible to help protect employment and retain the required members of staff at that time. This support has continued into 2021, although we have now brought the majority of staff back into the business;</w:t>
      </w:r>
    </w:p>
    <w:p w14:paraId="6EE6E803" w14:textId="77777777" w:rsidR="006E5C07" w:rsidRPr="006E5C07" w:rsidRDefault="006E5C07" w:rsidP="006E5C07">
      <w:pPr>
        <w:spacing w:after="200" w:line="253" w:lineRule="atLeast"/>
        <w:ind w:left="2160"/>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2B5F9FA5" w14:textId="77777777" w:rsidR="006E5C07" w:rsidRPr="006E5C07" w:rsidRDefault="006E5C07" w:rsidP="006E5C07">
      <w:pPr>
        <w:spacing w:after="0" w:line="253" w:lineRule="atLeast"/>
        <w:ind w:left="2160" w:hanging="360"/>
        <w:jc w:val="both"/>
        <w:textAlignment w:val="baseline"/>
        <w:rPr>
          <w:rFonts w:ascii="Calibri" w:eastAsia="Times New Roman" w:hAnsi="Calibri" w:cs="Calibri"/>
          <w:color w:val="16202C"/>
        </w:rPr>
      </w:pPr>
      <w:r w:rsidRPr="006E5C07">
        <w:rPr>
          <w:rFonts w:ascii="Symbol" w:eastAsia="Times New Roman" w:hAnsi="Symbol" w:cs="Calibri"/>
          <w:color w:val="16202C"/>
        </w:rPr>
        <w:t>·    </w:t>
      </w:r>
      <w:r w:rsidRPr="006E5C07">
        <w:rPr>
          <w:rFonts w:ascii="Gill Sans MT" w:eastAsia="Times New Roman" w:hAnsi="Gill Sans MT" w:cs="Calibri"/>
          <w:b/>
          <w:bCs/>
          <w:color w:val="16202C"/>
          <w:sz w:val="20"/>
          <w:szCs w:val="20"/>
        </w:rPr>
        <w:t>Cost reductions -</w:t>
      </w:r>
      <w:r w:rsidRPr="006E5C07">
        <w:rPr>
          <w:rFonts w:ascii="Gill Sans MT" w:eastAsia="Times New Roman" w:hAnsi="Gill Sans MT" w:cs="Calibri"/>
          <w:color w:val="16202C"/>
          <w:sz w:val="20"/>
          <w:szCs w:val="20"/>
        </w:rPr>
        <w:t> Along with additional funding and support, we still needed to review our structure and overheads from the perspective of what was required, what could be supported and what the likely future scale of the business would be. It was clear to us that when we emerged from the pandemic, the size and focus of the business would be very different from before. A targeted number of roles unfortunately had to be made redundant, overheads such as office and travel costs were reduced significantly and detailed consideration was given to simplifying, automating and rationalising processes throughout the business. This has led to annualised cost savings of over £1.0 million that will remain even once the business grows again;</w:t>
      </w:r>
    </w:p>
    <w:p w14:paraId="0E7C4DCB" w14:textId="77777777" w:rsidR="006E5C07" w:rsidRPr="006E5C07" w:rsidRDefault="006E5C07" w:rsidP="006E5C07">
      <w:pPr>
        <w:spacing w:after="200" w:line="253" w:lineRule="atLeast"/>
        <w:ind w:left="2160"/>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51C117D9" w14:textId="77777777" w:rsidR="006E5C07" w:rsidRPr="006E5C07" w:rsidRDefault="006E5C07" w:rsidP="006E5C07">
      <w:pPr>
        <w:spacing w:after="0" w:line="253" w:lineRule="atLeast"/>
        <w:ind w:left="2160" w:hanging="360"/>
        <w:jc w:val="both"/>
        <w:textAlignment w:val="baseline"/>
        <w:rPr>
          <w:rFonts w:ascii="Calibri" w:eastAsia="Times New Roman" w:hAnsi="Calibri" w:cs="Calibri"/>
          <w:color w:val="16202C"/>
        </w:rPr>
      </w:pPr>
      <w:r w:rsidRPr="006E5C07">
        <w:rPr>
          <w:rFonts w:ascii="Symbol" w:eastAsia="Times New Roman" w:hAnsi="Symbol" w:cs="Calibri"/>
          <w:color w:val="16202C"/>
        </w:rPr>
        <w:t>·    </w:t>
      </w:r>
      <w:r w:rsidRPr="006E5C07">
        <w:rPr>
          <w:rFonts w:ascii="Gill Sans MT" w:eastAsia="Times New Roman" w:hAnsi="Gill Sans MT" w:cs="Calibri"/>
          <w:b/>
          <w:bCs/>
          <w:color w:val="16202C"/>
          <w:sz w:val="20"/>
          <w:szCs w:val="20"/>
        </w:rPr>
        <w:t>Cash management -</w:t>
      </w:r>
      <w:r w:rsidRPr="006E5C07">
        <w:rPr>
          <w:rFonts w:ascii="Gill Sans MT" w:eastAsia="Times New Roman" w:hAnsi="Gill Sans MT" w:cs="Calibri"/>
          <w:color w:val="16202C"/>
          <w:sz w:val="20"/>
          <w:szCs w:val="20"/>
        </w:rPr>
        <w:t> Throughout 2020 and in to 2021, the business ensured that strict cash management was implemented. There was a moratorium on hiring new staff, capital expenditure and discretionary expenditure. Offers of extended payment terms were also taken up where appropriate and targeted revenue collection was put in place.</w:t>
      </w:r>
    </w:p>
    <w:p w14:paraId="77BCB506" w14:textId="77777777" w:rsidR="006E5C07" w:rsidRPr="006E5C07" w:rsidRDefault="006E5C07" w:rsidP="006E5C07">
      <w:pPr>
        <w:spacing w:after="200" w:line="253" w:lineRule="atLeast"/>
        <w:ind w:left="2160"/>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1D79952D"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lastRenderedPageBreak/>
        <w:t>Overall, these actions have played a huge part in securing the current viability of our business without jeopardising the future.</w:t>
      </w:r>
    </w:p>
    <w:p w14:paraId="5C5CABB3"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6A33CF63" w14:textId="77777777" w:rsidR="006E5C07" w:rsidRPr="006E5C07" w:rsidRDefault="006E5C07" w:rsidP="006E5C07">
      <w:pPr>
        <w:spacing w:after="0" w:line="253" w:lineRule="atLeast"/>
        <w:jc w:val="both"/>
        <w:rPr>
          <w:rFonts w:ascii="Calibri" w:eastAsia="Times New Roman" w:hAnsi="Calibri" w:cs="Calibri"/>
          <w:b/>
          <w:bCs/>
          <w:color w:val="16202C"/>
        </w:rPr>
      </w:pPr>
      <w:r w:rsidRPr="006E5C07">
        <w:rPr>
          <w:rFonts w:ascii="Gill Sans MT" w:eastAsia="Times New Roman" w:hAnsi="Gill Sans MT" w:cs="Calibri"/>
          <w:b/>
          <w:bCs/>
          <w:color w:val="16202C"/>
          <w:sz w:val="20"/>
          <w:szCs w:val="20"/>
        </w:rPr>
        <w:t>New business opportunities</w:t>
      </w:r>
    </w:p>
    <w:p w14:paraId="60A7EF3E"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2591F50B"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Although business was extremely slow during the closure of non-essential retail, there were plenty of opportunities to win new clients and renew agreements with existing clients.  We were delighted, during 2020 and early 2021, to announce that we had successfully entered into new agreements with significant venues including the Metrocentre, Lakeside, Braehead and Victoria Nottingham as well as over</w:t>
      </w:r>
      <w:r w:rsidRPr="006E5C07">
        <w:rPr>
          <w:rFonts w:ascii="Gill Sans MT" w:eastAsia="Times New Roman" w:hAnsi="Gill Sans MT" w:cs="Calibri"/>
          <w:color w:val="FF0000"/>
          <w:sz w:val="20"/>
          <w:szCs w:val="20"/>
        </w:rPr>
        <w:t> </w:t>
      </w:r>
      <w:r w:rsidRPr="006E5C07">
        <w:rPr>
          <w:rFonts w:ascii="Gill Sans MT" w:eastAsia="Times New Roman" w:hAnsi="Gill Sans MT" w:cs="Calibri"/>
          <w:color w:val="16202C"/>
          <w:sz w:val="20"/>
          <w:szCs w:val="20"/>
        </w:rPr>
        <w:t>900 regional railway stations (including Thameslink, Southern, Northern, Gatwick Express, Merseyrail and Greater Anglia) to complement our existing major Network Rail portfolio.</w:t>
      </w:r>
    </w:p>
    <w:p w14:paraId="6B726077" w14:textId="77777777" w:rsidR="006E5C07" w:rsidRPr="006E5C07" w:rsidRDefault="006E5C07" w:rsidP="006E5C07">
      <w:pPr>
        <w:spacing w:after="0" w:line="253" w:lineRule="atLeast"/>
        <w:jc w:val="both"/>
        <w:rPr>
          <w:rFonts w:ascii="Calibri" w:eastAsia="Times New Roman" w:hAnsi="Calibri" w:cs="Calibri"/>
          <w:b/>
          <w:bCs/>
          <w:color w:val="16202C"/>
        </w:rPr>
      </w:pPr>
      <w:r w:rsidRPr="006E5C07">
        <w:rPr>
          <w:rFonts w:ascii="Gill Sans MT" w:eastAsia="Times New Roman" w:hAnsi="Gill Sans MT" w:cs="Calibri"/>
          <w:b/>
          <w:bCs/>
          <w:color w:val="16202C"/>
          <w:sz w:val="20"/>
          <w:szCs w:val="20"/>
        </w:rPr>
        <w:t> </w:t>
      </w:r>
    </w:p>
    <w:p w14:paraId="1DEB9B49"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We also successfully secured an extension to our contract with Landsec until 2026 and we won several other venues such as The Potteries, Stoke on Trent, Watford Shopping Centre (now Atria) and Chapelfield, Norwich  (now Chantry Place).  As a business we now have an unparalleled network of mall spaces in premium venues which we exclusively manage.</w:t>
      </w:r>
    </w:p>
    <w:p w14:paraId="72B10247"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0BB157EE"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Significantly, we have recently announced a further agreement with ECE, our major German client, which secures our retail business in Germany for the next 5 years. I am very grateful to our two German managers Stefan Zwiechowski and Issam Chalghoumi for their diligent work in securing this contract with Germany's most prestigious property manager/owner.  The executive team at SpaceandPeople will continue to work closely with our German colleagues to ensure that this business maximises the opportunity of this new agreement.</w:t>
      </w:r>
    </w:p>
    <w:p w14:paraId="2D86FBEF"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2E7BDBB0" w14:textId="77777777" w:rsidR="006E5C07" w:rsidRPr="006E5C07" w:rsidRDefault="006E5C07" w:rsidP="006E5C07">
      <w:pPr>
        <w:spacing w:after="0" w:line="253" w:lineRule="atLeast"/>
        <w:jc w:val="both"/>
        <w:rPr>
          <w:rFonts w:ascii="Calibri" w:eastAsia="Times New Roman" w:hAnsi="Calibri" w:cs="Calibri"/>
          <w:b/>
          <w:bCs/>
          <w:color w:val="16202C"/>
        </w:rPr>
      </w:pPr>
      <w:r w:rsidRPr="006E5C07">
        <w:rPr>
          <w:rFonts w:ascii="Gill Sans MT" w:eastAsia="Times New Roman" w:hAnsi="Gill Sans MT" w:cs="Calibri"/>
          <w:b/>
          <w:bCs/>
          <w:color w:val="16202C"/>
          <w:sz w:val="20"/>
          <w:szCs w:val="20"/>
        </w:rPr>
        <w:t>SpaceandPeople India</w:t>
      </w:r>
    </w:p>
    <w:p w14:paraId="60A7BCF0"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1E082067"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Over the last few years management has been reviewing the core proposition of the Group. Over time, the direction of the Indian subsidiary has diverged from our specialisation in commercialisation. This had become a distraction from our main focus and our reluctance to follow the direction local management were wanting to take was inhibiting their ability to secure the viability and growth of that business. As a result, we took the decision in early 2021 to dispose of our full shareholding in this business. As the shareholding was disposed of for a nominal amount, the carrying value of SpaceandPeople India has been provided for in full as at the year end.  On an emotional level, this was a very difficult decision to make and I would like to take the opportunity to thank the Managing Director, Paresh Khivesara, and his team for their enthusiasm and hard work in establishing SpaceandPeople in India and I wish them the very best of luck moving forward.</w:t>
      </w:r>
    </w:p>
    <w:p w14:paraId="38CFC165"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153B1F74" w14:textId="77777777" w:rsidR="006E5C07" w:rsidRPr="006E5C07" w:rsidRDefault="006E5C07" w:rsidP="006E5C07">
      <w:pPr>
        <w:spacing w:after="0" w:line="253" w:lineRule="atLeast"/>
        <w:jc w:val="both"/>
        <w:rPr>
          <w:rFonts w:ascii="Calibri" w:eastAsia="Times New Roman" w:hAnsi="Calibri" w:cs="Calibri"/>
          <w:b/>
          <w:bCs/>
          <w:color w:val="16202C"/>
        </w:rPr>
      </w:pPr>
      <w:r w:rsidRPr="006E5C07">
        <w:rPr>
          <w:rFonts w:ascii="Gill Sans MT" w:eastAsia="Times New Roman" w:hAnsi="Gill Sans MT" w:cs="Calibri"/>
          <w:b/>
          <w:bCs/>
          <w:color w:val="16202C"/>
          <w:sz w:val="20"/>
          <w:szCs w:val="20"/>
        </w:rPr>
        <w:t>Outlook</w:t>
      </w:r>
    </w:p>
    <w:p w14:paraId="18325DDD" w14:textId="77777777" w:rsidR="006E5C07" w:rsidRPr="006E5C07" w:rsidRDefault="006E5C07" w:rsidP="006E5C07">
      <w:pPr>
        <w:spacing w:after="0" w:line="253" w:lineRule="atLeast"/>
        <w:jc w:val="both"/>
        <w:rPr>
          <w:rFonts w:ascii="Calibri" w:eastAsia="Times New Roman" w:hAnsi="Calibri" w:cs="Calibri"/>
          <w:b/>
          <w:bCs/>
          <w:color w:val="16202C"/>
        </w:rPr>
      </w:pPr>
      <w:r w:rsidRPr="006E5C07">
        <w:rPr>
          <w:rFonts w:ascii="Gill Sans MT" w:eastAsia="Times New Roman" w:hAnsi="Gill Sans MT" w:cs="Calibri"/>
          <w:b/>
          <w:bCs/>
          <w:color w:val="16202C"/>
          <w:sz w:val="20"/>
          <w:szCs w:val="20"/>
        </w:rPr>
        <w:t> </w:t>
      </w:r>
    </w:p>
    <w:p w14:paraId="5F47AE04"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As a result of all the above, we emerge from this difficult and unprecedented year focussed, motivated and with a significantly increased portfolio of venues. We have the prospect of increasing our sales force over the coming months as business returns to fully take advantage of revenue opportunities.  We recognise the strategic importance to our property partners of the activity which we provide which brings vitality, individuality and income to their venues and we are intent on bringing business back up and beyond previous year levels as soon as possible using our significantly enhanced venue portfolio as the lever for this.</w:t>
      </w:r>
    </w:p>
    <w:p w14:paraId="5BEBBB46"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7D7C54E0"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Our business has evolved over the years and now holds increasing relevance as the drive towards tactical and short-term physical retailing is seen as an important aspect of brands' omnichannel retail strategies, providing a seamless retail experiences to their customers. Our ability to secure spaces in high footfall venues, to provide kiosks in these spaces and to assist retailers to activate physical retailing whenever they choose and with minimal administration puts us in a unique position to support nascent, online brands and entrepreneurs moving forward. We have proved over the years that mall retail customers can become long term operators and ultimately, we aim for some of the brands that we book to become the retail unit tenants of the future in our partner venues.</w:t>
      </w:r>
    </w:p>
    <w:p w14:paraId="25D11D86"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lastRenderedPageBreak/>
        <w:t> </w:t>
      </w:r>
    </w:p>
    <w:p w14:paraId="626652CD"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We are excited about the prospect of a world where pop up/short-term retail and brand vibrancy are seen as critical features of the property mix.  We have a series of new initiatives and products designed to support new retail offers and we are looking to streamline sales with our systems including the ability to book our spaces online via a new booking portal. </w:t>
      </w:r>
    </w:p>
    <w:p w14:paraId="0A837A5D"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70F9E6DF" w14:textId="77777777" w:rsidR="006E5C07" w:rsidRPr="006E5C07" w:rsidRDefault="006E5C07" w:rsidP="006E5C07">
      <w:pPr>
        <w:spacing w:after="0" w:line="253" w:lineRule="atLeast"/>
        <w:jc w:val="both"/>
        <w:rPr>
          <w:rFonts w:ascii="Calibri" w:eastAsia="Times New Roman" w:hAnsi="Calibri" w:cs="Calibri"/>
          <w:b/>
          <w:bCs/>
          <w:color w:val="16202C"/>
        </w:rPr>
      </w:pPr>
      <w:r w:rsidRPr="006E5C07">
        <w:rPr>
          <w:rFonts w:ascii="Gill Sans MT" w:eastAsia="Times New Roman" w:hAnsi="Gill Sans MT" w:cs="Calibri"/>
          <w:b/>
          <w:bCs/>
          <w:color w:val="16202C"/>
          <w:sz w:val="20"/>
          <w:szCs w:val="20"/>
        </w:rPr>
        <w:t>Summary</w:t>
      </w:r>
    </w:p>
    <w:p w14:paraId="3E1AF5D8"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2B562AA0"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This is the first full year CEO review that I have prepared for you and, as you can see, it has been an exceptionally challenging time for the business.  I can report that we are now emerging from the last 12 months of stasis with a team in place that is focussed, motivated and experienced.  We also have a vastly strengthened portfolio in the UK and an improved long-term contract with ECE in Germany.</w:t>
      </w:r>
    </w:p>
    <w:p w14:paraId="23ADF6B9"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63DECC54"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In the UK, with our venues all now open and trading we are seeing business levels increasing on a daily basis and we are cautiously optimistic about the prospects for the next 12 months on the basis that promoter and retailer demand as well as consumer behaviour returns as expected.  As I write this, non-essential retail remains closed in Germany, however, we have a pipeline of occupiers looking to return to the malls as soon as they reopen and there is some interesting cross fertilisation of retailers occurring between the UK and Germany.</w:t>
      </w:r>
    </w:p>
    <w:p w14:paraId="7551AA66"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5902FCDF"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I would like to take this opportunity to pass a very big thank you to all our staff across both countries for their incredible resilience, adaptability and willingness to work across new sectors and in new ways.  Without their stoicism and hard work, we would not be in the positive position we currently are.</w:t>
      </w:r>
    </w:p>
    <w:p w14:paraId="62ABCD8D"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73F9928E"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As a result of our experiences and successes over the last 12 months we are excited about the prospects for 2021 and beyond, focused on success both in the UK and Germany and committed to returning SpaceandPeople to profitability as quickly and efficiently as possible.</w:t>
      </w:r>
    </w:p>
    <w:p w14:paraId="487846D9"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4942D703"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243F6250"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Nancy Cullen</w:t>
      </w:r>
    </w:p>
    <w:p w14:paraId="2EAB50D5"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Chief Executive Officer</w:t>
      </w:r>
    </w:p>
    <w:p w14:paraId="7D48D6F0"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3 June 2021</w:t>
      </w:r>
    </w:p>
    <w:p w14:paraId="6E6AB40A"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0E89D168"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58333A4D" w14:textId="77777777" w:rsidR="006E5C07" w:rsidRPr="006E5C07" w:rsidRDefault="006E5C07" w:rsidP="006E5C07">
      <w:pPr>
        <w:spacing w:after="0" w:line="240" w:lineRule="auto"/>
        <w:jc w:val="center"/>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40508CAA" w14:textId="77777777" w:rsidR="006E5C07" w:rsidRPr="006E5C07" w:rsidRDefault="006E5C07" w:rsidP="006E5C07">
      <w:pPr>
        <w:spacing w:after="0" w:line="240" w:lineRule="auto"/>
        <w:rPr>
          <w:rFonts w:ascii="Calibri" w:eastAsia="Times New Roman" w:hAnsi="Calibri" w:cs="Calibri"/>
          <w:color w:val="16202C"/>
          <w:u w:val="single"/>
        </w:rPr>
      </w:pPr>
      <w:r w:rsidRPr="006E5C07">
        <w:rPr>
          <w:rFonts w:ascii="Gill Sans MT" w:eastAsia="Times New Roman" w:hAnsi="Gill Sans MT" w:cs="Calibri"/>
          <w:color w:val="16202C"/>
          <w:sz w:val="20"/>
          <w:szCs w:val="20"/>
          <w:u w:val="single"/>
        </w:rPr>
        <w:t>Operating and Financial Review</w:t>
      </w:r>
    </w:p>
    <w:p w14:paraId="6D3136CA"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140FC5D7"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Due to the unprecedented challenges the Group faced during 2020 as a result of the Covid-19 pandemic, the focus of the business was on ensuring that it had sufficient resources to survive the enforced periods of lockdown. During these periods, the business was unable to trade and used the Job Retention Scheme ("JRS") in the UK, the equivalent scheme in Germany and the Coronavirus Business Interruption Loan Scheme to minimise cash outflow and secure sufficient working capital. The Group traded wherever possible during the periods when restrictions were eased, however, the associated uncertainty had an enormous impact on the desire and ability of promoters and retailers to trade with us during this time. The principal focus of the Group remains the concentration of efforts on our core business units of promotions, Retail Merchandising Units ("RMUs") and Mobile Promotions Kiosks ("MPKs") in both the UK and Germany.</w:t>
      </w:r>
    </w:p>
    <w:p w14:paraId="3C2596A8"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091184CD"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Group revenue was 64% lower than in the previous year, due to the unavailability of venues for bookings for the majority of 2020.</w:t>
      </w:r>
    </w:p>
    <w:p w14:paraId="002050D1"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72C91912"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Efforts to reduce costs resulted in a 65% reduction in UK cost of sales where venues remained closed while German cost of sales remained in line with revenue as trading resumed for periods of the year. Group administrative expenses also fell by 12% compared with the previous year.</w:t>
      </w:r>
    </w:p>
    <w:p w14:paraId="27D3BBC2"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00D6B8DA"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lastRenderedPageBreak/>
        <w:t>As a result, the Group generated an operating loss before non-recurring costs of £2.1 million compared with a profit of £0.1 million in 2019.</w:t>
      </w:r>
    </w:p>
    <w:p w14:paraId="487E3F96"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2E5A46C5"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The Group also had non-recurring charges during the year of £1.4 million. These were in relation to a £1.1m impairment in the carrying value of goodwill relating to the UK Retail sub-group and costs incurred in relation to the reduction in the number of staff in the UK and Germany of £0.3 million. With the exception of costs in relation to the reduction in the number of staff, these costs were non-cash items.</w:t>
      </w:r>
    </w:p>
    <w:p w14:paraId="5859BA5F"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054FC14E" w14:textId="77777777" w:rsidR="006E5C07" w:rsidRPr="006E5C07" w:rsidRDefault="006E5C07" w:rsidP="006E5C07">
      <w:pPr>
        <w:spacing w:after="0" w:line="240" w:lineRule="auto"/>
        <w:jc w:val="both"/>
        <w:rPr>
          <w:rFonts w:ascii="Calibri" w:eastAsia="Times New Roman" w:hAnsi="Calibri" w:cs="Calibri"/>
          <w:color w:val="16202C"/>
          <w:u w:val="single"/>
        </w:rPr>
      </w:pPr>
      <w:r w:rsidRPr="006E5C07">
        <w:rPr>
          <w:rFonts w:ascii="Gill Sans MT" w:eastAsia="Times New Roman" w:hAnsi="Gill Sans MT" w:cs="Calibri"/>
          <w:color w:val="16202C"/>
          <w:sz w:val="20"/>
          <w:szCs w:val="20"/>
          <w:u w:val="single"/>
        </w:rPr>
        <w:t>Revenue</w:t>
      </w:r>
    </w:p>
    <w:p w14:paraId="5FB78B4D"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1F67EB22"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Revenue generated in 2020 was £2.8 million, which was £4.9 million (64%) lower than in the previous year. Due to a change in the revenue recognition policy, explained in note 3 to the financial statements, this revenue amount of £2.8 million includes £0.6 million of revenue in relation to bookings that were taken in prior years, but were due to take place in 2020.</w:t>
      </w:r>
    </w:p>
    <w:p w14:paraId="70B428E0"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4A911C0D"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Of the £0.6 million included in 2020 revenue due to the change in policy, £0.5 million was subsequently cancelled and credited due to unavailability of venues due to lockdown periods during the year. Therefore, only £0.1 million of the revenue generated in 2020 related to bookings brought forward as a result of the change in policy.</w:t>
      </w:r>
    </w:p>
    <w:p w14:paraId="3BEDF02C"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32238C78"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UK promotional revenue fell by 77% to £0.8 million (including the net £0.1 million due to the change in revenue recognition policy less subsequent cancellations and credits) compared with 2019. This fall was entirely as a result of the lockdowns and restrictions we faced as a result of the Covid-19 pandemic. UK retail revenue fell by 67% to £0.9 million in 2020 for the same reason. Due to lockdowns, the utilisation of RMUs in operation in the UK fell by 59% and the availability of MPKs fell by 61%.</w:t>
      </w:r>
    </w:p>
    <w:p w14:paraId="18D0B22F"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19507FB5"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Revenue in the German retail division increased by 5% despite the extensive lockdowns as a result of a 13% increase in the average number of RMUs in operation during the year to 60 RMUs (2019: 53 RMUs). This was due to the renewal of the agreement with ECE in 2019, for a significantly increased number of RMUs during 2020.</w:t>
      </w:r>
    </w:p>
    <w:p w14:paraId="403FF2EF"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70578CCB"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German promotional revenue decreased by 85% compared with the previous year as the remaining long-term bookings came to an end. It is not anticipated that this division will generate any significant new business for the foreseeable future.</w:t>
      </w:r>
    </w:p>
    <w:p w14:paraId="69C13D02"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354E59E8" w14:textId="77777777" w:rsidR="006E5C07" w:rsidRPr="006E5C07" w:rsidRDefault="006E5C07" w:rsidP="006E5C07">
      <w:pPr>
        <w:spacing w:after="0" w:line="240" w:lineRule="auto"/>
        <w:jc w:val="both"/>
        <w:rPr>
          <w:rFonts w:ascii="Calibri" w:eastAsia="Times New Roman" w:hAnsi="Calibri" w:cs="Calibri"/>
          <w:color w:val="16202C"/>
          <w:u w:val="single"/>
        </w:rPr>
      </w:pPr>
      <w:r w:rsidRPr="006E5C07">
        <w:rPr>
          <w:rFonts w:ascii="Gill Sans MT" w:eastAsia="Times New Roman" w:hAnsi="Gill Sans MT" w:cs="Calibri"/>
          <w:color w:val="16202C"/>
          <w:sz w:val="20"/>
          <w:szCs w:val="20"/>
          <w:u w:val="single"/>
        </w:rPr>
        <w:t>Administrative Expenses</w:t>
      </w:r>
    </w:p>
    <w:p w14:paraId="19DBED81"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253327A3"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The focus on driving efficiency in the business through reducing administrative expenses continued in 2020. The 12% reduction of £0.6 million followed a £0.4 million (8%) reduction in the previous year. Government support in both the UK and Germany to support salaries during 2020 of £0.6 million is disclosed within other operating income.</w:t>
      </w:r>
    </w:p>
    <w:p w14:paraId="36844D6A"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0C9AB400"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The average number of people employed in the business fell by 12 to 68 in 2020. This was primarily due to a reduction in the number of telesales and commercial staff from 41 to 30, as a result of the decision to reduce headcount during the summer of 2020.</w:t>
      </w:r>
    </w:p>
    <w:p w14:paraId="25F82B55"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3CA332B9" w14:textId="77777777" w:rsidR="006E5C07" w:rsidRPr="006E5C07" w:rsidRDefault="006E5C07" w:rsidP="006E5C07">
      <w:pPr>
        <w:spacing w:after="0" w:line="240" w:lineRule="auto"/>
        <w:jc w:val="both"/>
        <w:rPr>
          <w:rFonts w:ascii="Calibri" w:eastAsia="Times New Roman" w:hAnsi="Calibri" w:cs="Calibri"/>
          <w:color w:val="16202C"/>
          <w:u w:val="single"/>
        </w:rPr>
      </w:pPr>
      <w:r w:rsidRPr="006E5C07">
        <w:rPr>
          <w:rFonts w:ascii="Gill Sans MT" w:eastAsia="Times New Roman" w:hAnsi="Gill Sans MT" w:cs="Calibri"/>
          <w:color w:val="16202C"/>
          <w:sz w:val="20"/>
          <w:szCs w:val="20"/>
          <w:u w:val="single"/>
        </w:rPr>
        <w:t>Losses</w:t>
      </w:r>
    </w:p>
    <w:p w14:paraId="5BDDAAB0"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61EA06B7"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The operating loss before non-recurring costs was £2.1 million (2019: profit of £0.1 million).</w:t>
      </w:r>
    </w:p>
    <w:p w14:paraId="6A108015"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160E8B29"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Basic Earnings per Share ("EPS") fell to (17.2)p (2019: positive 0.3p). Fully diluted EPS fell to (17.2)p (2019: positive 0.3p). Basic EPS is calculated as profit after tax and attributable to the owners of the Company divided by the weighted average number of shares in issue during the year which was 19,519,563 (2019: 19,519,563).</w:t>
      </w:r>
    </w:p>
    <w:p w14:paraId="46FD5C17"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00C2C10A"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Basic EPS excluding non-recurring costs and discontinued operations fell to (7.2)p (2019: positive 0.3p).</w:t>
      </w:r>
    </w:p>
    <w:p w14:paraId="4A745893"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6C76E53B"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Fully diluted EPS excluding non-recurring costs and discontinued operations fell to (7.2)p (2019: positive 0.3p).</w:t>
      </w:r>
    </w:p>
    <w:p w14:paraId="2844E7F8"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7683DF58"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lastRenderedPageBreak/>
        <w:t>Fully diluted EPS also takes into account the number of shares that would be issued on the exercise of outstanding share options. The weighted average number of shares used to calculate the diluted EPS was 21,053,117 (2019: 20,990,883).</w:t>
      </w:r>
    </w:p>
    <w:p w14:paraId="3C1C3365"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20EC906C" w14:textId="77777777" w:rsidR="006E5C07" w:rsidRPr="006E5C07" w:rsidRDefault="006E5C07" w:rsidP="006E5C07">
      <w:pPr>
        <w:spacing w:after="0" w:line="240" w:lineRule="auto"/>
        <w:jc w:val="both"/>
        <w:rPr>
          <w:rFonts w:ascii="Calibri" w:eastAsia="Times New Roman" w:hAnsi="Calibri" w:cs="Calibri"/>
          <w:color w:val="16202C"/>
          <w:u w:val="single"/>
        </w:rPr>
      </w:pPr>
      <w:r w:rsidRPr="006E5C07">
        <w:rPr>
          <w:rFonts w:ascii="Gill Sans MT" w:eastAsia="Times New Roman" w:hAnsi="Gill Sans MT" w:cs="Calibri"/>
          <w:color w:val="16202C"/>
          <w:sz w:val="20"/>
          <w:szCs w:val="20"/>
          <w:u w:val="single"/>
        </w:rPr>
        <w:t>Cash Flow</w:t>
      </w:r>
    </w:p>
    <w:p w14:paraId="2E6D33D6"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2E6A5FDA"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The Group cash outflow from operations was £1.2 million (2019: inflow of £0.2 million). This was due to EBITDA being a loss of £2.5 million and there being an offsetting movement of £1.3 million in working capital. As at the end of 2020, the Group had drawn down £1.75 million of its banking facilities (2019: £0.75 million). With the gross cash position being £0.4 million lower at the end of 2020 than 2019 at £0.8 million (2019: £1.2 million), this resulted in borrowings net of cash being £0.9 million (2019: net cash asset of £0.5 million).</w:t>
      </w:r>
    </w:p>
    <w:p w14:paraId="41EBF022"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13681C33"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1C0E8DD2"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20"/>
          <w:szCs w:val="20"/>
        </w:rPr>
        <w:t>Gregor Dunlay</w:t>
      </w:r>
    </w:p>
    <w:p w14:paraId="75637B17"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20"/>
          <w:szCs w:val="20"/>
        </w:rPr>
        <w:t>Chief Financial Officer</w:t>
      </w:r>
    </w:p>
    <w:p w14:paraId="04761E57"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20"/>
          <w:szCs w:val="20"/>
        </w:rPr>
        <w:t>3 June 2021</w:t>
      </w:r>
    </w:p>
    <w:p w14:paraId="4276A22F"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5C38AFDA"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20"/>
          <w:szCs w:val="20"/>
        </w:rPr>
        <w:t> </w:t>
      </w:r>
    </w:p>
    <w:p w14:paraId="05BF22AE" w14:textId="77777777" w:rsidR="006E5C07" w:rsidRPr="006E5C07" w:rsidRDefault="006E5C07" w:rsidP="006E5C07">
      <w:pPr>
        <w:spacing w:after="200" w:line="253" w:lineRule="atLeast"/>
        <w:rPr>
          <w:rFonts w:ascii="Calibri" w:eastAsia="Times New Roman" w:hAnsi="Calibri" w:cs="Calibri"/>
          <w:color w:val="16202C"/>
          <w:u w:val="single"/>
        </w:rPr>
      </w:pPr>
      <w:r w:rsidRPr="006E5C07">
        <w:rPr>
          <w:rFonts w:ascii="Gill Sans MT" w:eastAsia="Times New Roman" w:hAnsi="Gill Sans MT" w:cs="Calibri"/>
          <w:color w:val="16202C"/>
          <w:sz w:val="18"/>
          <w:szCs w:val="18"/>
          <w:u w:val="single"/>
        </w:rPr>
        <w:t>Consolidated Statement of Comprehensive Income</w:t>
      </w:r>
    </w:p>
    <w:p w14:paraId="10A21095" w14:textId="77777777" w:rsidR="006E5C07" w:rsidRPr="006E5C07" w:rsidRDefault="006E5C07" w:rsidP="006E5C07">
      <w:pPr>
        <w:spacing w:line="253" w:lineRule="atLeast"/>
        <w:rPr>
          <w:rFonts w:ascii="Calibri" w:eastAsia="Times New Roman" w:hAnsi="Calibri" w:cs="Calibri"/>
          <w:color w:val="16202C"/>
          <w:u w:val="single"/>
        </w:rPr>
      </w:pPr>
      <w:r w:rsidRPr="006E5C07">
        <w:rPr>
          <w:rFonts w:ascii="Gill Sans MT" w:eastAsia="Times New Roman" w:hAnsi="Gill Sans MT" w:cs="Calibri"/>
          <w:color w:val="16202C"/>
          <w:sz w:val="18"/>
          <w:szCs w:val="18"/>
          <w:u w:val="single"/>
        </w:rPr>
        <w:t>For the 12 months ended 31 December 2020</w:t>
      </w:r>
    </w:p>
    <w:tbl>
      <w:tblPr>
        <w:tblW w:w="0" w:type="auto"/>
        <w:tblInd w:w="-108" w:type="dxa"/>
        <w:tblCellMar>
          <w:left w:w="0" w:type="dxa"/>
          <w:right w:w="0" w:type="dxa"/>
        </w:tblCellMar>
        <w:tblLook w:val="04A0" w:firstRow="1" w:lastRow="0" w:firstColumn="1" w:lastColumn="0" w:noHBand="0" w:noVBand="1"/>
      </w:tblPr>
      <w:tblGrid>
        <w:gridCol w:w="4887"/>
        <w:gridCol w:w="672"/>
        <w:gridCol w:w="1201"/>
        <w:gridCol w:w="1439"/>
      </w:tblGrid>
      <w:tr w:rsidR="006E5C07" w:rsidRPr="006E5C07" w14:paraId="3D28F187" w14:textId="77777777" w:rsidTr="006E5C07">
        <w:tc>
          <w:tcPr>
            <w:tcW w:w="4887" w:type="dxa"/>
            <w:tcMar>
              <w:top w:w="0" w:type="dxa"/>
              <w:left w:w="108" w:type="dxa"/>
              <w:bottom w:w="0" w:type="dxa"/>
              <w:right w:w="108" w:type="dxa"/>
            </w:tcMar>
            <w:hideMark/>
          </w:tcPr>
          <w:p w14:paraId="3462CD6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tc>
        <w:tc>
          <w:tcPr>
            <w:tcW w:w="635" w:type="dxa"/>
            <w:tcMar>
              <w:top w:w="0" w:type="dxa"/>
              <w:left w:w="108" w:type="dxa"/>
              <w:bottom w:w="0" w:type="dxa"/>
              <w:right w:w="108" w:type="dxa"/>
            </w:tcMar>
            <w:hideMark/>
          </w:tcPr>
          <w:p w14:paraId="4D6F3891"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Notes</w:t>
            </w:r>
          </w:p>
        </w:tc>
        <w:tc>
          <w:tcPr>
            <w:tcW w:w="1201" w:type="dxa"/>
            <w:tcMar>
              <w:top w:w="0" w:type="dxa"/>
              <w:left w:w="108" w:type="dxa"/>
              <w:bottom w:w="0" w:type="dxa"/>
              <w:right w:w="108" w:type="dxa"/>
            </w:tcMar>
            <w:hideMark/>
          </w:tcPr>
          <w:p w14:paraId="3EDA037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4CC2EE0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c>
          <w:tcPr>
            <w:tcW w:w="1439" w:type="dxa"/>
            <w:tcMar>
              <w:top w:w="0" w:type="dxa"/>
              <w:left w:w="108" w:type="dxa"/>
              <w:bottom w:w="0" w:type="dxa"/>
              <w:right w:w="108" w:type="dxa"/>
            </w:tcMar>
            <w:hideMark/>
          </w:tcPr>
          <w:p w14:paraId="6D33470E"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 </w:t>
            </w:r>
          </w:p>
          <w:p w14:paraId="6339D83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r>
      <w:tr w:rsidR="006E5C07" w:rsidRPr="006E5C07" w14:paraId="1B707D2B" w14:textId="77777777" w:rsidTr="006E5C07">
        <w:tc>
          <w:tcPr>
            <w:tcW w:w="4887" w:type="dxa"/>
            <w:tcMar>
              <w:top w:w="0" w:type="dxa"/>
              <w:left w:w="108" w:type="dxa"/>
              <w:bottom w:w="0" w:type="dxa"/>
              <w:right w:w="108" w:type="dxa"/>
            </w:tcMar>
            <w:hideMark/>
          </w:tcPr>
          <w:p w14:paraId="66C69451" w14:textId="77777777" w:rsidR="006E5C07" w:rsidRPr="006E5C07" w:rsidRDefault="006E5C07" w:rsidP="006E5C07">
            <w:pPr>
              <w:spacing w:after="0" w:line="240" w:lineRule="auto"/>
              <w:rPr>
                <w:rFonts w:ascii="Calibri" w:eastAsia="Times New Roman" w:hAnsi="Calibri" w:cs="Calibri"/>
                <w:b/>
                <w:bCs/>
              </w:rPr>
            </w:pPr>
          </w:p>
        </w:tc>
        <w:tc>
          <w:tcPr>
            <w:tcW w:w="635" w:type="dxa"/>
            <w:tcMar>
              <w:top w:w="0" w:type="dxa"/>
              <w:left w:w="108" w:type="dxa"/>
              <w:bottom w:w="0" w:type="dxa"/>
              <w:right w:w="108" w:type="dxa"/>
            </w:tcMar>
            <w:hideMark/>
          </w:tcPr>
          <w:p w14:paraId="6B34E42E" w14:textId="77777777" w:rsidR="006E5C07" w:rsidRPr="006E5C07" w:rsidRDefault="006E5C07" w:rsidP="006E5C07">
            <w:pPr>
              <w:spacing w:after="0" w:line="240" w:lineRule="auto"/>
              <w:jc w:val="center"/>
              <w:rPr>
                <w:rFonts w:ascii="Calibri" w:eastAsia="Times New Roman" w:hAnsi="Calibri" w:cs="Calibri"/>
              </w:rPr>
            </w:pPr>
          </w:p>
        </w:tc>
        <w:tc>
          <w:tcPr>
            <w:tcW w:w="1201" w:type="dxa"/>
            <w:tcMar>
              <w:top w:w="0" w:type="dxa"/>
              <w:left w:w="108" w:type="dxa"/>
              <w:bottom w:w="0" w:type="dxa"/>
              <w:right w:w="108" w:type="dxa"/>
            </w:tcMar>
            <w:hideMark/>
          </w:tcPr>
          <w:p w14:paraId="6722A31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'20</w:t>
            </w:r>
          </w:p>
        </w:tc>
        <w:tc>
          <w:tcPr>
            <w:tcW w:w="1439" w:type="dxa"/>
            <w:tcMar>
              <w:top w:w="0" w:type="dxa"/>
              <w:left w:w="108" w:type="dxa"/>
              <w:bottom w:w="0" w:type="dxa"/>
              <w:right w:w="108" w:type="dxa"/>
            </w:tcMar>
            <w:hideMark/>
          </w:tcPr>
          <w:p w14:paraId="36D8405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'19</w:t>
            </w:r>
          </w:p>
          <w:p w14:paraId="2128206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as restated</w:t>
            </w:r>
          </w:p>
        </w:tc>
      </w:tr>
      <w:tr w:rsidR="006E5C07" w:rsidRPr="006E5C07" w14:paraId="04A7486D" w14:textId="77777777" w:rsidTr="006E5C07">
        <w:tc>
          <w:tcPr>
            <w:tcW w:w="4887" w:type="dxa"/>
            <w:tcMar>
              <w:top w:w="0" w:type="dxa"/>
              <w:left w:w="108" w:type="dxa"/>
              <w:bottom w:w="0" w:type="dxa"/>
              <w:right w:w="108" w:type="dxa"/>
            </w:tcMar>
            <w:hideMark/>
          </w:tcPr>
          <w:p w14:paraId="457E9B5C" w14:textId="77777777" w:rsidR="006E5C07" w:rsidRPr="006E5C07" w:rsidRDefault="006E5C07" w:rsidP="006E5C07">
            <w:pPr>
              <w:spacing w:after="0" w:line="240" w:lineRule="auto"/>
              <w:rPr>
                <w:rFonts w:ascii="Calibri" w:eastAsia="Times New Roman" w:hAnsi="Calibri" w:cs="Calibri"/>
                <w:b/>
                <w:bCs/>
              </w:rPr>
            </w:pPr>
          </w:p>
        </w:tc>
        <w:tc>
          <w:tcPr>
            <w:tcW w:w="635" w:type="dxa"/>
            <w:tcMar>
              <w:top w:w="0" w:type="dxa"/>
              <w:left w:w="108" w:type="dxa"/>
              <w:bottom w:w="0" w:type="dxa"/>
              <w:right w:w="108" w:type="dxa"/>
            </w:tcMar>
            <w:hideMark/>
          </w:tcPr>
          <w:p w14:paraId="251AEFDD" w14:textId="77777777" w:rsidR="006E5C07" w:rsidRPr="006E5C07" w:rsidRDefault="006E5C07" w:rsidP="006E5C07">
            <w:pPr>
              <w:spacing w:after="0" w:line="240" w:lineRule="auto"/>
              <w:jc w:val="center"/>
              <w:rPr>
                <w:rFonts w:ascii="Calibri" w:eastAsia="Times New Roman" w:hAnsi="Calibri" w:cs="Calibri"/>
              </w:rPr>
            </w:pPr>
          </w:p>
        </w:tc>
        <w:tc>
          <w:tcPr>
            <w:tcW w:w="1201" w:type="dxa"/>
            <w:tcMar>
              <w:top w:w="0" w:type="dxa"/>
              <w:left w:w="108" w:type="dxa"/>
              <w:bottom w:w="0" w:type="dxa"/>
              <w:right w:w="108" w:type="dxa"/>
            </w:tcMar>
            <w:hideMark/>
          </w:tcPr>
          <w:p w14:paraId="1570CA2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1439" w:type="dxa"/>
            <w:tcMar>
              <w:top w:w="0" w:type="dxa"/>
              <w:left w:w="108" w:type="dxa"/>
              <w:bottom w:w="0" w:type="dxa"/>
              <w:right w:w="108" w:type="dxa"/>
            </w:tcMar>
            <w:hideMark/>
          </w:tcPr>
          <w:p w14:paraId="2307FDF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4B13EF08" w14:textId="77777777" w:rsidTr="006E5C07">
        <w:tc>
          <w:tcPr>
            <w:tcW w:w="4887" w:type="dxa"/>
            <w:tcMar>
              <w:top w:w="0" w:type="dxa"/>
              <w:left w:w="108" w:type="dxa"/>
              <w:bottom w:w="0" w:type="dxa"/>
              <w:right w:w="108" w:type="dxa"/>
            </w:tcMar>
            <w:hideMark/>
          </w:tcPr>
          <w:p w14:paraId="20922097" w14:textId="77777777" w:rsidR="006E5C07" w:rsidRPr="006E5C07" w:rsidRDefault="006E5C07" w:rsidP="006E5C07">
            <w:pPr>
              <w:spacing w:after="0" w:line="240" w:lineRule="auto"/>
              <w:rPr>
                <w:rFonts w:ascii="Calibri" w:eastAsia="Times New Roman" w:hAnsi="Calibri" w:cs="Calibri"/>
                <w:b/>
                <w:bCs/>
              </w:rPr>
            </w:pPr>
          </w:p>
        </w:tc>
        <w:tc>
          <w:tcPr>
            <w:tcW w:w="635" w:type="dxa"/>
            <w:tcMar>
              <w:top w:w="0" w:type="dxa"/>
              <w:left w:w="108" w:type="dxa"/>
              <w:bottom w:w="0" w:type="dxa"/>
              <w:right w:w="108" w:type="dxa"/>
            </w:tcMar>
            <w:hideMark/>
          </w:tcPr>
          <w:p w14:paraId="20F91407" w14:textId="77777777" w:rsidR="006E5C07" w:rsidRPr="006E5C07" w:rsidRDefault="006E5C07" w:rsidP="006E5C07">
            <w:pPr>
              <w:spacing w:after="0" w:line="240" w:lineRule="auto"/>
              <w:jc w:val="center"/>
              <w:rPr>
                <w:rFonts w:ascii="Calibri" w:eastAsia="Times New Roman" w:hAnsi="Calibri" w:cs="Calibri"/>
              </w:rPr>
            </w:pPr>
          </w:p>
        </w:tc>
        <w:tc>
          <w:tcPr>
            <w:tcW w:w="1201" w:type="dxa"/>
            <w:tcMar>
              <w:top w:w="0" w:type="dxa"/>
              <w:left w:w="108" w:type="dxa"/>
              <w:bottom w:w="0" w:type="dxa"/>
              <w:right w:w="108" w:type="dxa"/>
            </w:tcMar>
            <w:hideMark/>
          </w:tcPr>
          <w:p w14:paraId="0E821BD9" w14:textId="77777777" w:rsidR="006E5C07" w:rsidRPr="006E5C07" w:rsidRDefault="006E5C07" w:rsidP="006E5C07">
            <w:pPr>
              <w:spacing w:after="0" w:line="240" w:lineRule="auto"/>
              <w:jc w:val="right"/>
              <w:rPr>
                <w:rFonts w:ascii="Calibri" w:eastAsia="Times New Roman" w:hAnsi="Calibri" w:cs="Calibri"/>
                <w:b/>
                <w:bCs/>
              </w:rPr>
            </w:pPr>
          </w:p>
        </w:tc>
        <w:tc>
          <w:tcPr>
            <w:tcW w:w="1439" w:type="dxa"/>
            <w:tcMar>
              <w:top w:w="0" w:type="dxa"/>
              <w:left w:w="108" w:type="dxa"/>
              <w:bottom w:w="0" w:type="dxa"/>
              <w:right w:w="108" w:type="dxa"/>
            </w:tcMar>
            <w:hideMark/>
          </w:tcPr>
          <w:p w14:paraId="30731C5D"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36D0DA5D" w14:textId="77777777" w:rsidTr="006E5C07">
        <w:tc>
          <w:tcPr>
            <w:tcW w:w="4887" w:type="dxa"/>
            <w:tcMar>
              <w:top w:w="0" w:type="dxa"/>
              <w:left w:w="108" w:type="dxa"/>
              <w:bottom w:w="0" w:type="dxa"/>
              <w:right w:w="108" w:type="dxa"/>
            </w:tcMar>
            <w:hideMark/>
          </w:tcPr>
          <w:p w14:paraId="56C5D82D"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Continuing Operations</w:t>
            </w:r>
          </w:p>
        </w:tc>
        <w:tc>
          <w:tcPr>
            <w:tcW w:w="635" w:type="dxa"/>
            <w:tcMar>
              <w:top w:w="0" w:type="dxa"/>
              <w:left w:w="108" w:type="dxa"/>
              <w:bottom w:w="0" w:type="dxa"/>
              <w:right w:w="108" w:type="dxa"/>
            </w:tcMar>
            <w:hideMark/>
          </w:tcPr>
          <w:p w14:paraId="7F03211E" w14:textId="77777777" w:rsidR="006E5C07" w:rsidRPr="006E5C07" w:rsidRDefault="006E5C07" w:rsidP="006E5C07">
            <w:pPr>
              <w:spacing w:after="0" w:line="240" w:lineRule="auto"/>
              <w:jc w:val="center"/>
              <w:rPr>
                <w:rFonts w:ascii="Calibri" w:eastAsia="Times New Roman" w:hAnsi="Calibri" w:cs="Calibri"/>
              </w:rPr>
            </w:pPr>
          </w:p>
        </w:tc>
        <w:tc>
          <w:tcPr>
            <w:tcW w:w="1201" w:type="dxa"/>
            <w:tcMar>
              <w:top w:w="0" w:type="dxa"/>
              <w:left w:w="108" w:type="dxa"/>
              <w:bottom w:w="0" w:type="dxa"/>
              <w:right w:w="108" w:type="dxa"/>
            </w:tcMar>
            <w:hideMark/>
          </w:tcPr>
          <w:p w14:paraId="361A75E2" w14:textId="77777777" w:rsidR="006E5C07" w:rsidRPr="006E5C07" w:rsidRDefault="006E5C07" w:rsidP="006E5C07">
            <w:pPr>
              <w:spacing w:after="0" w:line="240" w:lineRule="auto"/>
              <w:jc w:val="right"/>
              <w:rPr>
                <w:rFonts w:ascii="Calibri" w:eastAsia="Times New Roman" w:hAnsi="Calibri" w:cs="Calibri"/>
                <w:b/>
                <w:bCs/>
              </w:rPr>
            </w:pPr>
          </w:p>
        </w:tc>
        <w:tc>
          <w:tcPr>
            <w:tcW w:w="1439" w:type="dxa"/>
            <w:tcMar>
              <w:top w:w="0" w:type="dxa"/>
              <w:left w:w="108" w:type="dxa"/>
              <w:bottom w:w="0" w:type="dxa"/>
              <w:right w:w="108" w:type="dxa"/>
            </w:tcMar>
            <w:hideMark/>
          </w:tcPr>
          <w:p w14:paraId="30292DDA"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575350EC" w14:textId="77777777" w:rsidTr="006E5C07">
        <w:tc>
          <w:tcPr>
            <w:tcW w:w="4887" w:type="dxa"/>
            <w:tcMar>
              <w:top w:w="0" w:type="dxa"/>
              <w:left w:w="108" w:type="dxa"/>
              <w:bottom w:w="0" w:type="dxa"/>
              <w:right w:w="108" w:type="dxa"/>
            </w:tcMar>
            <w:hideMark/>
          </w:tcPr>
          <w:p w14:paraId="0555F748" w14:textId="77777777" w:rsidR="006E5C07" w:rsidRPr="006E5C07" w:rsidRDefault="006E5C07" w:rsidP="006E5C07">
            <w:pPr>
              <w:spacing w:after="0" w:line="240" w:lineRule="auto"/>
              <w:rPr>
                <w:rFonts w:ascii="Calibri" w:eastAsia="Times New Roman" w:hAnsi="Calibri" w:cs="Calibri"/>
                <w:b/>
                <w:bCs/>
              </w:rPr>
            </w:pPr>
          </w:p>
        </w:tc>
        <w:tc>
          <w:tcPr>
            <w:tcW w:w="635" w:type="dxa"/>
            <w:tcMar>
              <w:top w:w="0" w:type="dxa"/>
              <w:left w:w="108" w:type="dxa"/>
              <w:bottom w:w="0" w:type="dxa"/>
              <w:right w:w="108" w:type="dxa"/>
            </w:tcMar>
            <w:hideMark/>
          </w:tcPr>
          <w:p w14:paraId="4DFC424C" w14:textId="77777777" w:rsidR="006E5C07" w:rsidRPr="006E5C07" w:rsidRDefault="006E5C07" w:rsidP="006E5C07">
            <w:pPr>
              <w:spacing w:after="0" w:line="240" w:lineRule="auto"/>
              <w:jc w:val="center"/>
              <w:rPr>
                <w:rFonts w:ascii="Calibri" w:eastAsia="Times New Roman" w:hAnsi="Calibri" w:cs="Calibri"/>
              </w:rPr>
            </w:pPr>
          </w:p>
        </w:tc>
        <w:tc>
          <w:tcPr>
            <w:tcW w:w="1201" w:type="dxa"/>
            <w:tcMar>
              <w:top w:w="0" w:type="dxa"/>
              <w:left w:w="108" w:type="dxa"/>
              <w:bottom w:w="0" w:type="dxa"/>
              <w:right w:w="108" w:type="dxa"/>
            </w:tcMar>
            <w:hideMark/>
          </w:tcPr>
          <w:p w14:paraId="61883FD7" w14:textId="77777777" w:rsidR="006E5C07" w:rsidRPr="006E5C07" w:rsidRDefault="006E5C07" w:rsidP="006E5C07">
            <w:pPr>
              <w:spacing w:after="0" w:line="240" w:lineRule="auto"/>
              <w:jc w:val="right"/>
              <w:rPr>
                <w:rFonts w:ascii="Calibri" w:eastAsia="Times New Roman" w:hAnsi="Calibri" w:cs="Calibri"/>
                <w:b/>
                <w:bCs/>
              </w:rPr>
            </w:pPr>
          </w:p>
        </w:tc>
        <w:tc>
          <w:tcPr>
            <w:tcW w:w="1439" w:type="dxa"/>
            <w:tcMar>
              <w:top w:w="0" w:type="dxa"/>
              <w:left w:w="108" w:type="dxa"/>
              <w:bottom w:w="0" w:type="dxa"/>
              <w:right w:w="108" w:type="dxa"/>
            </w:tcMar>
            <w:hideMark/>
          </w:tcPr>
          <w:p w14:paraId="4305F9F7"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5E94DE3A" w14:textId="77777777" w:rsidTr="006E5C07">
        <w:tc>
          <w:tcPr>
            <w:tcW w:w="4887" w:type="dxa"/>
            <w:tcMar>
              <w:top w:w="0" w:type="dxa"/>
              <w:left w:w="108" w:type="dxa"/>
              <w:bottom w:w="0" w:type="dxa"/>
              <w:right w:w="108" w:type="dxa"/>
            </w:tcMar>
            <w:hideMark/>
          </w:tcPr>
          <w:p w14:paraId="32543F8F"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Revenue</w:t>
            </w:r>
          </w:p>
        </w:tc>
        <w:tc>
          <w:tcPr>
            <w:tcW w:w="635" w:type="dxa"/>
            <w:tcMar>
              <w:top w:w="0" w:type="dxa"/>
              <w:left w:w="108" w:type="dxa"/>
              <w:bottom w:w="0" w:type="dxa"/>
              <w:right w:w="108" w:type="dxa"/>
            </w:tcMar>
            <w:hideMark/>
          </w:tcPr>
          <w:p w14:paraId="651711E9"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4</w:t>
            </w:r>
          </w:p>
        </w:tc>
        <w:tc>
          <w:tcPr>
            <w:tcW w:w="1201" w:type="dxa"/>
            <w:tcMar>
              <w:top w:w="0" w:type="dxa"/>
              <w:left w:w="108" w:type="dxa"/>
              <w:bottom w:w="0" w:type="dxa"/>
              <w:right w:w="108" w:type="dxa"/>
            </w:tcMar>
            <w:hideMark/>
          </w:tcPr>
          <w:p w14:paraId="411703F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2,813</w:t>
            </w:r>
          </w:p>
        </w:tc>
        <w:tc>
          <w:tcPr>
            <w:tcW w:w="1439" w:type="dxa"/>
            <w:tcMar>
              <w:top w:w="0" w:type="dxa"/>
              <w:left w:w="108" w:type="dxa"/>
              <w:bottom w:w="0" w:type="dxa"/>
              <w:right w:w="108" w:type="dxa"/>
            </w:tcMar>
            <w:hideMark/>
          </w:tcPr>
          <w:p w14:paraId="2B00F3C7"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7,655</w:t>
            </w:r>
          </w:p>
        </w:tc>
      </w:tr>
      <w:tr w:rsidR="006E5C07" w:rsidRPr="006E5C07" w14:paraId="4B79F888" w14:textId="77777777" w:rsidTr="006E5C07">
        <w:tc>
          <w:tcPr>
            <w:tcW w:w="4887" w:type="dxa"/>
            <w:tcMar>
              <w:top w:w="0" w:type="dxa"/>
              <w:left w:w="108" w:type="dxa"/>
              <w:bottom w:w="0" w:type="dxa"/>
              <w:right w:w="108" w:type="dxa"/>
            </w:tcMar>
            <w:hideMark/>
          </w:tcPr>
          <w:p w14:paraId="101E351C" w14:textId="77777777" w:rsidR="006E5C07" w:rsidRPr="006E5C07" w:rsidRDefault="006E5C07" w:rsidP="006E5C07">
            <w:pPr>
              <w:spacing w:after="0" w:line="240" w:lineRule="auto"/>
              <w:rPr>
                <w:rFonts w:ascii="Calibri" w:eastAsia="Times New Roman" w:hAnsi="Calibri" w:cs="Calibri"/>
              </w:rPr>
            </w:pPr>
          </w:p>
        </w:tc>
        <w:tc>
          <w:tcPr>
            <w:tcW w:w="635" w:type="dxa"/>
            <w:tcMar>
              <w:top w:w="0" w:type="dxa"/>
              <w:left w:w="108" w:type="dxa"/>
              <w:bottom w:w="0" w:type="dxa"/>
              <w:right w:w="108" w:type="dxa"/>
            </w:tcMar>
            <w:hideMark/>
          </w:tcPr>
          <w:p w14:paraId="71E82512" w14:textId="77777777" w:rsidR="006E5C07" w:rsidRPr="006E5C07" w:rsidRDefault="006E5C07" w:rsidP="006E5C07">
            <w:pPr>
              <w:spacing w:after="0" w:line="240" w:lineRule="auto"/>
              <w:jc w:val="center"/>
              <w:rPr>
                <w:rFonts w:ascii="Calibri" w:eastAsia="Times New Roman" w:hAnsi="Calibri" w:cs="Calibri"/>
              </w:rPr>
            </w:pPr>
          </w:p>
        </w:tc>
        <w:tc>
          <w:tcPr>
            <w:tcW w:w="1201" w:type="dxa"/>
            <w:tcMar>
              <w:top w:w="0" w:type="dxa"/>
              <w:left w:w="108" w:type="dxa"/>
              <w:bottom w:w="0" w:type="dxa"/>
              <w:right w:w="108" w:type="dxa"/>
            </w:tcMar>
            <w:hideMark/>
          </w:tcPr>
          <w:p w14:paraId="71E322B1" w14:textId="77777777" w:rsidR="006E5C07" w:rsidRPr="006E5C07" w:rsidRDefault="006E5C07" w:rsidP="006E5C07">
            <w:pPr>
              <w:spacing w:after="0" w:line="240" w:lineRule="auto"/>
              <w:jc w:val="right"/>
              <w:rPr>
                <w:rFonts w:ascii="Calibri" w:eastAsia="Times New Roman" w:hAnsi="Calibri" w:cs="Calibri"/>
              </w:rPr>
            </w:pPr>
          </w:p>
        </w:tc>
        <w:tc>
          <w:tcPr>
            <w:tcW w:w="1439" w:type="dxa"/>
            <w:tcMar>
              <w:top w:w="0" w:type="dxa"/>
              <w:left w:w="108" w:type="dxa"/>
              <w:bottom w:w="0" w:type="dxa"/>
              <w:right w:w="108" w:type="dxa"/>
            </w:tcMar>
            <w:hideMark/>
          </w:tcPr>
          <w:p w14:paraId="31B6C395"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3F394C21" w14:textId="77777777" w:rsidTr="006E5C07">
        <w:tc>
          <w:tcPr>
            <w:tcW w:w="4887" w:type="dxa"/>
            <w:tcMar>
              <w:top w:w="0" w:type="dxa"/>
              <w:left w:w="108" w:type="dxa"/>
              <w:bottom w:w="0" w:type="dxa"/>
              <w:right w:w="108" w:type="dxa"/>
            </w:tcMar>
            <w:hideMark/>
          </w:tcPr>
          <w:p w14:paraId="2140453C"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Cost of sales</w:t>
            </w:r>
          </w:p>
        </w:tc>
        <w:tc>
          <w:tcPr>
            <w:tcW w:w="635" w:type="dxa"/>
            <w:tcMar>
              <w:top w:w="0" w:type="dxa"/>
              <w:left w:w="108" w:type="dxa"/>
              <w:bottom w:w="0" w:type="dxa"/>
              <w:right w:w="108" w:type="dxa"/>
            </w:tcMar>
            <w:hideMark/>
          </w:tcPr>
          <w:p w14:paraId="39ACE1BE"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4</w:t>
            </w:r>
          </w:p>
        </w:tc>
        <w:tc>
          <w:tcPr>
            <w:tcW w:w="1201" w:type="dxa"/>
            <w:tcMar>
              <w:top w:w="0" w:type="dxa"/>
              <w:left w:w="108" w:type="dxa"/>
              <w:bottom w:w="0" w:type="dxa"/>
              <w:right w:w="108" w:type="dxa"/>
            </w:tcMar>
            <w:hideMark/>
          </w:tcPr>
          <w:p w14:paraId="385D12C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(1,417)</w:t>
            </w:r>
          </w:p>
        </w:tc>
        <w:tc>
          <w:tcPr>
            <w:tcW w:w="1439" w:type="dxa"/>
            <w:tcMar>
              <w:top w:w="0" w:type="dxa"/>
              <w:left w:w="108" w:type="dxa"/>
              <w:bottom w:w="0" w:type="dxa"/>
              <w:right w:w="108" w:type="dxa"/>
            </w:tcMar>
            <w:hideMark/>
          </w:tcPr>
          <w:p w14:paraId="65A67DE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(2,865)</w:t>
            </w:r>
          </w:p>
        </w:tc>
      </w:tr>
      <w:tr w:rsidR="006E5C07" w:rsidRPr="006E5C07" w14:paraId="745B0588" w14:textId="77777777" w:rsidTr="006E5C07">
        <w:tc>
          <w:tcPr>
            <w:tcW w:w="4887" w:type="dxa"/>
            <w:tcMar>
              <w:top w:w="0" w:type="dxa"/>
              <w:left w:w="108" w:type="dxa"/>
              <w:bottom w:w="0" w:type="dxa"/>
              <w:right w:w="108" w:type="dxa"/>
            </w:tcMar>
            <w:hideMark/>
          </w:tcPr>
          <w:p w14:paraId="142A6AD4" w14:textId="77777777" w:rsidR="006E5C07" w:rsidRPr="006E5C07" w:rsidRDefault="006E5C07" w:rsidP="006E5C07">
            <w:pPr>
              <w:spacing w:after="0" w:line="240" w:lineRule="auto"/>
              <w:rPr>
                <w:rFonts w:ascii="Calibri" w:eastAsia="Times New Roman" w:hAnsi="Calibri" w:cs="Calibri"/>
              </w:rPr>
            </w:pPr>
          </w:p>
        </w:tc>
        <w:tc>
          <w:tcPr>
            <w:tcW w:w="635" w:type="dxa"/>
            <w:tcMar>
              <w:top w:w="0" w:type="dxa"/>
              <w:left w:w="108" w:type="dxa"/>
              <w:bottom w:w="0" w:type="dxa"/>
              <w:right w:w="108" w:type="dxa"/>
            </w:tcMar>
            <w:hideMark/>
          </w:tcPr>
          <w:p w14:paraId="3A50FC84" w14:textId="77777777" w:rsidR="006E5C07" w:rsidRPr="006E5C07" w:rsidRDefault="006E5C07" w:rsidP="006E5C07">
            <w:pPr>
              <w:spacing w:after="0" w:line="240" w:lineRule="auto"/>
              <w:jc w:val="center"/>
              <w:rPr>
                <w:rFonts w:ascii="Calibri" w:eastAsia="Times New Roman" w:hAnsi="Calibri" w:cs="Calibri"/>
              </w:rPr>
            </w:pPr>
          </w:p>
        </w:tc>
        <w:tc>
          <w:tcPr>
            <w:tcW w:w="1201" w:type="dxa"/>
            <w:tcBorders>
              <w:top w:val="nil"/>
              <w:left w:val="nil"/>
              <w:bottom w:val="single" w:sz="8" w:space="0" w:color="auto"/>
              <w:right w:val="nil"/>
            </w:tcBorders>
            <w:tcMar>
              <w:top w:w="0" w:type="dxa"/>
              <w:left w:w="108" w:type="dxa"/>
              <w:bottom w:w="0" w:type="dxa"/>
              <w:right w:w="108" w:type="dxa"/>
            </w:tcMar>
            <w:hideMark/>
          </w:tcPr>
          <w:p w14:paraId="4FF421F4" w14:textId="77777777" w:rsidR="006E5C07" w:rsidRPr="006E5C07" w:rsidRDefault="006E5C07" w:rsidP="006E5C07">
            <w:pPr>
              <w:spacing w:after="0" w:line="240" w:lineRule="auto"/>
              <w:rPr>
                <w:rFonts w:ascii="Calibri" w:eastAsia="Times New Roman" w:hAnsi="Calibri" w:cs="Calibri"/>
              </w:rPr>
            </w:pPr>
            <w:r w:rsidRPr="006E5C07">
              <w:rPr>
                <w:rFonts w:ascii="Calibri" w:eastAsia="Times New Roman" w:hAnsi="Calibri" w:cs="Calibri"/>
              </w:rPr>
              <w:t> </w:t>
            </w:r>
          </w:p>
        </w:tc>
        <w:tc>
          <w:tcPr>
            <w:tcW w:w="1439" w:type="dxa"/>
            <w:tcBorders>
              <w:top w:val="nil"/>
              <w:left w:val="nil"/>
              <w:bottom w:val="single" w:sz="8" w:space="0" w:color="auto"/>
              <w:right w:val="nil"/>
            </w:tcBorders>
            <w:tcMar>
              <w:top w:w="0" w:type="dxa"/>
              <w:left w:w="108" w:type="dxa"/>
              <w:bottom w:w="0" w:type="dxa"/>
              <w:right w:w="108" w:type="dxa"/>
            </w:tcMar>
            <w:hideMark/>
          </w:tcPr>
          <w:p w14:paraId="63C76AD9" w14:textId="77777777" w:rsidR="006E5C07" w:rsidRPr="006E5C07" w:rsidRDefault="006E5C07" w:rsidP="006E5C07">
            <w:pPr>
              <w:spacing w:after="0" w:line="240" w:lineRule="auto"/>
              <w:rPr>
                <w:rFonts w:ascii="Calibri" w:eastAsia="Times New Roman" w:hAnsi="Calibri" w:cs="Calibri"/>
              </w:rPr>
            </w:pPr>
            <w:r w:rsidRPr="006E5C07">
              <w:rPr>
                <w:rFonts w:ascii="Calibri" w:eastAsia="Times New Roman" w:hAnsi="Calibri" w:cs="Calibri"/>
              </w:rPr>
              <w:t> </w:t>
            </w:r>
          </w:p>
        </w:tc>
      </w:tr>
      <w:tr w:rsidR="006E5C07" w:rsidRPr="006E5C07" w14:paraId="5E857A9D" w14:textId="77777777" w:rsidTr="006E5C07">
        <w:tc>
          <w:tcPr>
            <w:tcW w:w="4887" w:type="dxa"/>
            <w:tcMar>
              <w:top w:w="0" w:type="dxa"/>
              <w:left w:w="108" w:type="dxa"/>
              <w:bottom w:w="0" w:type="dxa"/>
              <w:right w:w="108" w:type="dxa"/>
            </w:tcMar>
            <w:hideMark/>
          </w:tcPr>
          <w:p w14:paraId="62F03887"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Gross profit</w:t>
            </w:r>
          </w:p>
        </w:tc>
        <w:tc>
          <w:tcPr>
            <w:tcW w:w="635" w:type="dxa"/>
            <w:tcMar>
              <w:top w:w="0" w:type="dxa"/>
              <w:left w:w="108" w:type="dxa"/>
              <w:bottom w:w="0" w:type="dxa"/>
              <w:right w:w="108" w:type="dxa"/>
            </w:tcMar>
            <w:hideMark/>
          </w:tcPr>
          <w:p w14:paraId="34B57247" w14:textId="77777777" w:rsidR="006E5C07" w:rsidRPr="006E5C07" w:rsidRDefault="006E5C07" w:rsidP="006E5C07">
            <w:pPr>
              <w:spacing w:after="0" w:line="240" w:lineRule="auto"/>
              <w:jc w:val="center"/>
              <w:rPr>
                <w:rFonts w:ascii="Calibri" w:eastAsia="Times New Roman" w:hAnsi="Calibri" w:cs="Calibri"/>
              </w:rPr>
            </w:pPr>
          </w:p>
        </w:tc>
        <w:tc>
          <w:tcPr>
            <w:tcW w:w="1201" w:type="dxa"/>
            <w:tcBorders>
              <w:top w:val="nil"/>
              <w:left w:val="nil"/>
              <w:bottom w:val="nil"/>
              <w:right w:val="nil"/>
            </w:tcBorders>
            <w:tcMar>
              <w:top w:w="0" w:type="dxa"/>
              <w:left w:w="108" w:type="dxa"/>
              <w:bottom w:w="0" w:type="dxa"/>
              <w:right w:w="108" w:type="dxa"/>
            </w:tcMar>
            <w:hideMark/>
          </w:tcPr>
          <w:p w14:paraId="2FEDE277"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1,396</w:t>
            </w:r>
          </w:p>
        </w:tc>
        <w:tc>
          <w:tcPr>
            <w:tcW w:w="1439" w:type="dxa"/>
            <w:tcBorders>
              <w:top w:val="nil"/>
              <w:left w:val="nil"/>
              <w:bottom w:val="nil"/>
              <w:right w:val="nil"/>
            </w:tcBorders>
            <w:tcMar>
              <w:top w:w="0" w:type="dxa"/>
              <w:left w:w="108" w:type="dxa"/>
              <w:bottom w:w="0" w:type="dxa"/>
              <w:right w:w="108" w:type="dxa"/>
            </w:tcMar>
            <w:hideMark/>
          </w:tcPr>
          <w:p w14:paraId="5415AC72"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4,790</w:t>
            </w:r>
          </w:p>
        </w:tc>
      </w:tr>
      <w:tr w:rsidR="006E5C07" w:rsidRPr="006E5C07" w14:paraId="3AB59001" w14:textId="77777777" w:rsidTr="006E5C07">
        <w:tc>
          <w:tcPr>
            <w:tcW w:w="4887" w:type="dxa"/>
            <w:tcMar>
              <w:top w:w="0" w:type="dxa"/>
              <w:left w:w="108" w:type="dxa"/>
              <w:bottom w:w="0" w:type="dxa"/>
              <w:right w:w="108" w:type="dxa"/>
            </w:tcMar>
            <w:hideMark/>
          </w:tcPr>
          <w:p w14:paraId="41BDB3C6" w14:textId="77777777" w:rsidR="006E5C07" w:rsidRPr="006E5C07" w:rsidRDefault="006E5C07" w:rsidP="006E5C07">
            <w:pPr>
              <w:spacing w:after="0" w:line="240" w:lineRule="auto"/>
              <w:rPr>
                <w:rFonts w:ascii="Calibri" w:eastAsia="Times New Roman" w:hAnsi="Calibri" w:cs="Calibri"/>
              </w:rPr>
            </w:pPr>
          </w:p>
        </w:tc>
        <w:tc>
          <w:tcPr>
            <w:tcW w:w="635" w:type="dxa"/>
            <w:tcMar>
              <w:top w:w="0" w:type="dxa"/>
              <w:left w:w="108" w:type="dxa"/>
              <w:bottom w:w="0" w:type="dxa"/>
              <w:right w:w="108" w:type="dxa"/>
            </w:tcMar>
            <w:hideMark/>
          </w:tcPr>
          <w:p w14:paraId="25A68B7F" w14:textId="77777777" w:rsidR="006E5C07" w:rsidRPr="006E5C07" w:rsidRDefault="006E5C07" w:rsidP="006E5C07">
            <w:pPr>
              <w:spacing w:after="0" w:line="240" w:lineRule="auto"/>
              <w:jc w:val="center"/>
              <w:rPr>
                <w:rFonts w:ascii="Calibri" w:eastAsia="Times New Roman" w:hAnsi="Calibri" w:cs="Calibri"/>
              </w:rPr>
            </w:pPr>
          </w:p>
        </w:tc>
        <w:tc>
          <w:tcPr>
            <w:tcW w:w="1201" w:type="dxa"/>
            <w:tcMar>
              <w:top w:w="0" w:type="dxa"/>
              <w:left w:w="108" w:type="dxa"/>
              <w:bottom w:w="0" w:type="dxa"/>
              <w:right w:w="108" w:type="dxa"/>
            </w:tcMar>
            <w:hideMark/>
          </w:tcPr>
          <w:p w14:paraId="01425571" w14:textId="77777777" w:rsidR="006E5C07" w:rsidRPr="006E5C07" w:rsidRDefault="006E5C07" w:rsidP="006E5C07">
            <w:pPr>
              <w:spacing w:after="0" w:line="240" w:lineRule="auto"/>
              <w:rPr>
                <w:rFonts w:ascii="Calibri" w:eastAsia="Times New Roman" w:hAnsi="Calibri" w:cs="Calibri"/>
              </w:rPr>
            </w:pPr>
            <w:r w:rsidRPr="006E5C07">
              <w:rPr>
                <w:rFonts w:ascii="Calibri" w:eastAsia="Times New Roman" w:hAnsi="Calibri" w:cs="Calibri"/>
              </w:rPr>
              <w:t> </w:t>
            </w:r>
          </w:p>
        </w:tc>
        <w:tc>
          <w:tcPr>
            <w:tcW w:w="1439" w:type="dxa"/>
            <w:tcMar>
              <w:top w:w="0" w:type="dxa"/>
              <w:left w:w="108" w:type="dxa"/>
              <w:bottom w:w="0" w:type="dxa"/>
              <w:right w:w="108" w:type="dxa"/>
            </w:tcMar>
            <w:hideMark/>
          </w:tcPr>
          <w:p w14:paraId="68D47C68" w14:textId="77777777" w:rsidR="006E5C07" w:rsidRPr="006E5C07" w:rsidRDefault="006E5C07" w:rsidP="006E5C07">
            <w:pPr>
              <w:spacing w:after="0" w:line="240" w:lineRule="auto"/>
              <w:rPr>
                <w:rFonts w:ascii="Calibri" w:eastAsia="Times New Roman" w:hAnsi="Calibri" w:cs="Calibri"/>
              </w:rPr>
            </w:pPr>
            <w:r w:rsidRPr="006E5C07">
              <w:rPr>
                <w:rFonts w:ascii="Calibri" w:eastAsia="Times New Roman" w:hAnsi="Calibri" w:cs="Calibri"/>
              </w:rPr>
              <w:t> </w:t>
            </w:r>
          </w:p>
        </w:tc>
      </w:tr>
      <w:tr w:rsidR="006E5C07" w:rsidRPr="006E5C07" w14:paraId="4604D915" w14:textId="77777777" w:rsidTr="006E5C07">
        <w:tc>
          <w:tcPr>
            <w:tcW w:w="4887" w:type="dxa"/>
            <w:tcMar>
              <w:top w:w="0" w:type="dxa"/>
              <w:left w:w="108" w:type="dxa"/>
              <w:bottom w:w="0" w:type="dxa"/>
              <w:right w:w="108" w:type="dxa"/>
            </w:tcMar>
            <w:hideMark/>
          </w:tcPr>
          <w:p w14:paraId="62623CB8"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Administration expenses</w:t>
            </w:r>
          </w:p>
        </w:tc>
        <w:tc>
          <w:tcPr>
            <w:tcW w:w="635" w:type="dxa"/>
            <w:tcMar>
              <w:top w:w="0" w:type="dxa"/>
              <w:left w:w="108" w:type="dxa"/>
              <w:bottom w:w="0" w:type="dxa"/>
              <w:right w:w="108" w:type="dxa"/>
            </w:tcMar>
            <w:hideMark/>
          </w:tcPr>
          <w:p w14:paraId="6DC04E2F" w14:textId="77777777" w:rsidR="006E5C07" w:rsidRPr="006E5C07" w:rsidRDefault="006E5C07" w:rsidP="006E5C07">
            <w:pPr>
              <w:spacing w:after="0" w:line="240" w:lineRule="auto"/>
              <w:jc w:val="center"/>
              <w:rPr>
                <w:rFonts w:ascii="Calibri" w:eastAsia="Times New Roman" w:hAnsi="Calibri" w:cs="Calibri"/>
              </w:rPr>
            </w:pPr>
          </w:p>
        </w:tc>
        <w:tc>
          <w:tcPr>
            <w:tcW w:w="1201" w:type="dxa"/>
            <w:tcMar>
              <w:top w:w="0" w:type="dxa"/>
              <w:left w:w="108" w:type="dxa"/>
              <w:bottom w:w="0" w:type="dxa"/>
              <w:right w:w="108" w:type="dxa"/>
            </w:tcMar>
            <w:hideMark/>
          </w:tcPr>
          <w:p w14:paraId="05845E2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(4,267)</w:t>
            </w:r>
          </w:p>
        </w:tc>
        <w:tc>
          <w:tcPr>
            <w:tcW w:w="1439" w:type="dxa"/>
            <w:tcMar>
              <w:top w:w="0" w:type="dxa"/>
              <w:left w:w="108" w:type="dxa"/>
              <w:bottom w:w="0" w:type="dxa"/>
              <w:right w:w="108" w:type="dxa"/>
            </w:tcMar>
            <w:hideMark/>
          </w:tcPr>
          <w:p w14:paraId="421BF7F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(4,838)</w:t>
            </w:r>
          </w:p>
        </w:tc>
      </w:tr>
      <w:tr w:rsidR="006E5C07" w:rsidRPr="006E5C07" w14:paraId="54D3729D" w14:textId="77777777" w:rsidTr="006E5C07">
        <w:tc>
          <w:tcPr>
            <w:tcW w:w="4887" w:type="dxa"/>
            <w:tcMar>
              <w:top w:w="0" w:type="dxa"/>
              <w:left w:w="108" w:type="dxa"/>
              <w:bottom w:w="0" w:type="dxa"/>
              <w:right w:w="108" w:type="dxa"/>
            </w:tcMar>
            <w:hideMark/>
          </w:tcPr>
          <w:p w14:paraId="4308DB5D"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Other operating income</w:t>
            </w:r>
          </w:p>
        </w:tc>
        <w:tc>
          <w:tcPr>
            <w:tcW w:w="635" w:type="dxa"/>
            <w:tcMar>
              <w:top w:w="0" w:type="dxa"/>
              <w:left w:w="108" w:type="dxa"/>
              <w:bottom w:w="0" w:type="dxa"/>
              <w:right w:w="108" w:type="dxa"/>
            </w:tcMar>
            <w:hideMark/>
          </w:tcPr>
          <w:p w14:paraId="45D4455E"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5</w:t>
            </w:r>
          </w:p>
        </w:tc>
        <w:tc>
          <w:tcPr>
            <w:tcW w:w="1201" w:type="dxa"/>
            <w:tcMar>
              <w:top w:w="0" w:type="dxa"/>
              <w:left w:w="108" w:type="dxa"/>
              <w:bottom w:w="0" w:type="dxa"/>
              <w:right w:w="108" w:type="dxa"/>
            </w:tcMar>
            <w:hideMark/>
          </w:tcPr>
          <w:p w14:paraId="7B76050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739</w:t>
            </w:r>
          </w:p>
        </w:tc>
        <w:tc>
          <w:tcPr>
            <w:tcW w:w="1439" w:type="dxa"/>
            <w:tcMar>
              <w:top w:w="0" w:type="dxa"/>
              <w:left w:w="108" w:type="dxa"/>
              <w:bottom w:w="0" w:type="dxa"/>
              <w:right w:w="108" w:type="dxa"/>
            </w:tcMar>
            <w:hideMark/>
          </w:tcPr>
          <w:p w14:paraId="79ABF49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175</w:t>
            </w:r>
          </w:p>
        </w:tc>
      </w:tr>
      <w:tr w:rsidR="006E5C07" w:rsidRPr="006E5C07" w14:paraId="445BA660" w14:textId="77777777" w:rsidTr="006E5C07">
        <w:tc>
          <w:tcPr>
            <w:tcW w:w="4887" w:type="dxa"/>
            <w:tcMar>
              <w:top w:w="0" w:type="dxa"/>
              <w:left w:w="108" w:type="dxa"/>
              <w:bottom w:w="0" w:type="dxa"/>
              <w:right w:w="108" w:type="dxa"/>
            </w:tcMar>
            <w:hideMark/>
          </w:tcPr>
          <w:p w14:paraId="4EE0D391" w14:textId="77777777" w:rsidR="006E5C07" w:rsidRPr="006E5C07" w:rsidRDefault="006E5C07" w:rsidP="006E5C07">
            <w:pPr>
              <w:spacing w:after="0" w:line="240" w:lineRule="auto"/>
              <w:rPr>
                <w:rFonts w:ascii="Calibri" w:eastAsia="Times New Roman" w:hAnsi="Calibri" w:cs="Calibri"/>
              </w:rPr>
            </w:pPr>
          </w:p>
        </w:tc>
        <w:tc>
          <w:tcPr>
            <w:tcW w:w="635" w:type="dxa"/>
            <w:tcMar>
              <w:top w:w="0" w:type="dxa"/>
              <w:left w:w="108" w:type="dxa"/>
              <w:bottom w:w="0" w:type="dxa"/>
              <w:right w:w="108" w:type="dxa"/>
            </w:tcMar>
            <w:hideMark/>
          </w:tcPr>
          <w:p w14:paraId="2221360C" w14:textId="77777777" w:rsidR="006E5C07" w:rsidRPr="006E5C07" w:rsidRDefault="006E5C07" w:rsidP="006E5C07">
            <w:pPr>
              <w:spacing w:after="0" w:line="240" w:lineRule="auto"/>
              <w:jc w:val="center"/>
              <w:rPr>
                <w:rFonts w:ascii="Calibri" w:eastAsia="Times New Roman" w:hAnsi="Calibri" w:cs="Calibri"/>
              </w:rPr>
            </w:pPr>
          </w:p>
        </w:tc>
        <w:tc>
          <w:tcPr>
            <w:tcW w:w="1201" w:type="dxa"/>
            <w:tcBorders>
              <w:top w:val="nil"/>
              <w:left w:val="nil"/>
              <w:bottom w:val="single" w:sz="8" w:space="0" w:color="auto"/>
              <w:right w:val="nil"/>
            </w:tcBorders>
            <w:tcMar>
              <w:top w:w="0" w:type="dxa"/>
              <w:left w:w="108" w:type="dxa"/>
              <w:bottom w:w="0" w:type="dxa"/>
              <w:right w:w="108" w:type="dxa"/>
            </w:tcMar>
            <w:hideMark/>
          </w:tcPr>
          <w:p w14:paraId="6F233210" w14:textId="77777777" w:rsidR="006E5C07" w:rsidRPr="006E5C07" w:rsidRDefault="006E5C07" w:rsidP="006E5C07">
            <w:pPr>
              <w:spacing w:after="0" w:line="240" w:lineRule="auto"/>
              <w:jc w:val="center"/>
              <w:rPr>
                <w:rFonts w:ascii="Calibri" w:eastAsia="Times New Roman" w:hAnsi="Calibri" w:cs="Calibri"/>
              </w:rPr>
            </w:pPr>
          </w:p>
        </w:tc>
        <w:tc>
          <w:tcPr>
            <w:tcW w:w="1439" w:type="dxa"/>
            <w:tcBorders>
              <w:top w:val="nil"/>
              <w:left w:val="nil"/>
              <w:bottom w:val="single" w:sz="8" w:space="0" w:color="auto"/>
              <w:right w:val="nil"/>
            </w:tcBorders>
            <w:tcMar>
              <w:top w:w="0" w:type="dxa"/>
              <w:left w:w="108" w:type="dxa"/>
              <w:bottom w:w="0" w:type="dxa"/>
              <w:right w:w="108" w:type="dxa"/>
            </w:tcMar>
            <w:hideMark/>
          </w:tcPr>
          <w:p w14:paraId="3444897F" w14:textId="77777777" w:rsidR="006E5C07" w:rsidRPr="006E5C07" w:rsidRDefault="006E5C07" w:rsidP="006E5C07">
            <w:pPr>
              <w:spacing w:after="0" w:line="240" w:lineRule="auto"/>
              <w:rPr>
                <w:rFonts w:ascii="Calibri" w:eastAsia="Times New Roman" w:hAnsi="Calibri" w:cs="Calibri"/>
              </w:rPr>
            </w:pPr>
          </w:p>
        </w:tc>
      </w:tr>
      <w:tr w:rsidR="006E5C07" w:rsidRPr="006E5C07" w14:paraId="298F0B33" w14:textId="77777777" w:rsidTr="006E5C07">
        <w:tc>
          <w:tcPr>
            <w:tcW w:w="4887" w:type="dxa"/>
            <w:tcMar>
              <w:top w:w="0" w:type="dxa"/>
              <w:left w:w="108" w:type="dxa"/>
              <w:bottom w:w="0" w:type="dxa"/>
              <w:right w:w="108" w:type="dxa"/>
            </w:tcMar>
            <w:hideMark/>
          </w:tcPr>
          <w:p w14:paraId="0B0A9788"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Operating (loss) / profit before non-recurring costs</w:t>
            </w:r>
          </w:p>
        </w:tc>
        <w:tc>
          <w:tcPr>
            <w:tcW w:w="635" w:type="dxa"/>
            <w:tcMar>
              <w:top w:w="0" w:type="dxa"/>
              <w:left w:w="108" w:type="dxa"/>
              <w:bottom w:w="0" w:type="dxa"/>
              <w:right w:w="108" w:type="dxa"/>
            </w:tcMar>
            <w:hideMark/>
          </w:tcPr>
          <w:p w14:paraId="3063EA0A" w14:textId="77777777" w:rsidR="006E5C07" w:rsidRPr="006E5C07" w:rsidRDefault="006E5C07" w:rsidP="006E5C07">
            <w:pPr>
              <w:spacing w:after="0" w:line="240" w:lineRule="auto"/>
              <w:jc w:val="center"/>
              <w:rPr>
                <w:rFonts w:ascii="Calibri" w:eastAsia="Times New Roman" w:hAnsi="Calibri" w:cs="Calibri"/>
              </w:rPr>
            </w:pPr>
          </w:p>
        </w:tc>
        <w:tc>
          <w:tcPr>
            <w:tcW w:w="1201" w:type="dxa"/>
            <w:tcBorders>
              <w:top w:val="nil"/>
              <w:left w:val="nil"/>
              <w:bottom w:val="nil"/>
              <w:right w:val="nil"/>
            </w:tcBorders>
            <w:tcMar>
              <w:top w:w="0" w:type="dxa"/>
              <w:left w:w="108" w:type="dxa"/>
              <w:bottom w:w="0" w:type="dxa"/>
              <w:right w:w="108" w:type="dxa"/>
            </w:tcMar>
            <w:hideMark/>
          </w:tcPr>
          <w:p w14:paraId="04164CDD"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(2,132)</w:t>
            </w:r>
          </w:p>
        </w:tc>
        <w:tc>
          <w:tcPr>
            <w:tcW w:w="1439" w:type="dxa"/>
            <w:tcBorders>
              <w:top w:val="nil"/>
              <w:left w:val="nil"/>
              <w:bottom w:val="nil"/>
              <w:right w:val="nil"/>
            </w:tcBorders>
            <w:tcMar>
              <w:top w:w="0" w:type="dxa"/>
              <w:left w:w="108" w:type="dxa"/>
              <w:bottom w:w="0" w:type="dxa"/>
              <w:right w:w="108" w:type="dxa"/>
            </w:tcMar>
            <w:hideMark/>
          </w:tcPr>
          <w:p w14:paraId="668F7BD8"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127</w:t>
            </w:r>
          </w:p>
        </w:tc>
      </w:tr>
      <w:tr w:rsidR="006E5C07" w:rsidRPr="006E5C07" w14:paraId="06922D33" w14:textId="77777777" w:rsidTr="006E5C07">
        <w:tc>
          <w:tcPr>
            <w:tcW w:w="4887" w:type="dxa"/>
            <w:tcMar>
              <w:top w:w="0" w:type="dxa"/>
              <w:left w:w="108" w:type="dxa"/>
              <w:bottom w:w="0" w:type="dxa"/>
              <w:right w:w="108" w:type="dxa"/>
            </w:tcMar>
            <w:hideMark/>
          </w:tcPr>
          <w:p w14:paraId="6FAD756C" w14:textId="77777777" w:rsidR="006E5C07" w:rsidRPr="006E5C07" w:rsidRDefault="006E5C07" w:rsidP="006E5C07">
            <w:pPr>
              <w:spacing w:after="0" w:line="240" w:lineRule="auto"/>
              <w:rPr>
                <w:rFonts w:ascii="Calibri" w:eastAsia="Times New Roman" w:hAnsi="Calibri" w:cs="Calibri"/>
              </w:rPr>
            </w:pPr>
          </w:p>
        </w:tc>
        <w:tc>
          <w:tcPr>
            <w:tcW w:w="635" w:type="dxa"/>
            <w:tcMar>
              <w:top w:w="0" w:type="dxa"/>
              <w:left w:w="108" w:type="dxa"/>
              <w:bottom w:w="0" w:type="dxa"/>
              <w:right w:w="108" w:type="dxa"/>
            </w:tcMar>
            <w:hideMark/>
          </w:tcPr>
          <w:p w14:paraId="6C7E9E87" w14:textId="77777777" w:rsidR="006E5C07" w:rsidRPr="006E5C07" w:rsidRDefault="006E5C07" w:rsidP="006E5C07">
            <w:pPr>
              <w:spacing w:after="0" w:line="240" w:lineRule="auto"/>
              <w:rPr>
                <w:rFonts w:ascii="Calibri" w:eastAsia="Times New Roman" w:hAnsi="Calibri" w:cs="Calibri"/>
              </w:rPr>
            </w:pPr>
          </w:p>
        </w:tc>
        <w:tc>
          <w:tcPr>
            <w:tcW w:w="1201" w:type="dxa"/>
            <w:tcMar>
              <w:top w:w="0" w:type="dxa"/>
              <w:left w:w="108" w:type="dxa"/>
              <w:bottom w:w="0" w:type="dxa"/>
              <w:right w:w="108" w:type="dxa"/>
            </w:tcMar>
            <w:hideMark/>
          </w:tcPr>
          <w:p w14:paraId="50948944" w14:textId="77777777" w:rsidR="006E5C07" w:rsidRPr="006E5C07" w:rsidRDefault="006E5C07" w:rsidP="006E5C07">
            <w:pPr>
              <w:spacing w:after="0" w:line="240" w:lineRule="auto"/>
              <w:rPr>
                <w:rFonts w:ascii="Calibri" w:eastAsia="Times New Roman" w:hAnsi="Calibri" w:cs="Calibri"/>
              </w:rPr>
            </w:pPr>
          </w:p>
        </w:tc>
        <w:tc>
          <w:tcPr>
            <w:tcW w:w="1439" w:type="dxa"/>
            <w:tcMar>
              <w:top w:w="0" w:type="dxa"/>
              <w:left w:w="108" w:type="dxa"/>
              <w:bottom w:w="0" w:type="dxa"/>
              <w:right w:w="108" w:type="dxa"/>
            </w:tcMar>
            <w:hideMark/>
          </w:tcPr>
          <w:p w14:paraId="6D62E904" w14:textId="77777777" w:rsidR="006E5C07" w:rsidRPr="006E5C07" w:rsidRDefault="006E5C07" w:rsidP="006E5C07">
            <w:pPr>
              <w:spacing w:after="0" w:line="240" w:lineRule="auto"/>
              <w:rPr>
                <w:rFonts w:ascii="Calibri" w:eastAsia="Times New Roman" w:hAnsi="Calibri" w:cs="Calibri"/>
              </w:rPr>
            </w:pPr>
          </w:p>
        </w:tc>
      </w:tr>
      <w:tr w:rsidR="006E5C07" w:rsidRPr="006E5C07" w14:paraId="3F222013" w14:textId="77777777" w:rsidTr="006E5C07">
        <w:tc>
          <w:tcPr>
            <w:tcW w:w="4887" w:type="dxa"/>
            <w:tcMar>
              <w:top w:w="0" w:type="dxa"/>
              <w:left w:w="108" w:type="dxa"/>
              <w:bottom w:w="0" w:type="dxa"/>
              <w:right w:w="108" w:type="dxa"/>
            </w:tcMar>
            <w:hideMark/>
          </w:tcPr>
          <w:p w14:paraId="30DCC2FD"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Non-recurring charges</w:t>
            </w:r>
          </w:p>
        </w:tc>
        <w:tc>
          <w:tcPr>
            <w:tcW w:w="635" w:type="dxa"/>
            <w:tcMar>
              <w:top w:w="0" w:type="dxa"/>
              <w:left w:w="108" w:type="dxa"/>
              <w:bottom w:w="0" w:type="dxa"/>
              <w:right w:w="108" w:type="dxa"/>
            </w:tcMar>
            <w:hideMark/>
          </w:tcPr>
          <w:p w14:paraId="20312600"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8</w:t>
            </w:r>
          </w:p>
        </w:tc>
        <w:tc>
          <w:tcPr>
            <w:tcW w:w="1201" w:type="dxa"/>
            <w:tcMar>
              <w:top w:w="0" w:type="dxa"/>
              <w:left w:w="108" w:type="dxa"/>
              <w:bottom w:w="0" w:type="dxa"/>
              <w:right w:w="108" w:type="dxa"/>
            </w:tcMar>
            <w:hideMark/>
          </w:tcPr>
          <w:p w14:paraId="188B896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(1,442)</w:t>
            </w:r>
          </w:p>
        </w:tc>
        <w:tc>
          <w:tcPr>
            <w:tcW w:w="1439" w:type="dxa"/>
            <w:tcMar>
              <w:top w:w="0" w:type="dxa"/>
              <w:left w:w="108" w:type="dxa"/>
              <w:bottom w:w="0" w:type="dxa"/>
              <w:right w:w="108" w:type="dxa"/>
            </w:tcMar>
            <w:hideMark/>
          </w:tcPr>
          <w:p w14:paraId="3C23A94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r>
      <w:tr w:rsidR="006E5C07" w:rsidRPr="006E5C07" w14:paraId="45D40C56" w14:textId="77777777" w:rsidTr="006E5C07">
        <w:tc>
          <w:tcPr>
            <w:tcW w:w="4887" w:type="dxa"/>
            <w:tcMar>
              <w:top w:w="0" w:type="dxa"/>
              <w:left w:w="108" w:type="dxa"/>
              <w:bottom w:w="0" w:type="dxa"/>
              <w:right w:w="108" w:type="dxa"/>
            </w:tcMar>
            <w:hideMark/>
          </w:tcPr>
          <w:p w14:paraId="1B35487B" w14:textId="77777777" w:rsidR="006E5C07" w:rsidRPr="006E5C07" w:rsidRDefault="006E5C07" w:rsidP="006E5C07">
            <w:pPr>
              <w:spacing w:after="0" w:line="240" w:lineRule="auto"/>
              <w:rPr>
                <w:rFonts w:ascii="Calibri" w:eastAsia="Times New Roman" w:hAnsi="Calibri" w:cs="Calibri"/>
              </w:rPr>
            </w:pPr>
          </w:p>
        </w:tc>
        <w:tc>
          <w:tcPr>
            <w:tcW w:w="635" w:type="dxa"/>
            <w:tcMar>
              <w:top w:w="0" w:type="dxa"/>
              <w:left w:w="108" w:type="dxa"/>
              <w:bottom w:w="0" w:type="dxa"/>
              <w:right w:w="108" w:type="dxa"/>
            </w:tcMar>
            <w:hideMark/>
          </w:tcPr>
          <w:p w14:paraId="662A4669" w14:textId="77777777" w:rsidR="006E5C07" w:rsidRPr="006E5C07" w:rsidRDefault="006E5C07" w:rsidP="006E5C07">
            <w:pPr>
              <w:spacing w:after="0" w:line="240" w:lineRule="auto"/>
              <w:jc w:val="center"/>
              <w:rPr>
                <w:rFonts w:ascii="Calibri" w:eastAsia="Times New Roman" w:hAnsi="Calibri" w:cs="Calibri"/>
              </w:rPr>
            </w:pPr>
          </w:p>
        </w:tc>
        <w:tc>
          <w:tcPr>
            <w:tcW w:w="1201" w:type="dxa"/>
            <w:tcBorders>
              <w:top w:val="nil"/>
              <w:left w:val="nil"/>
              <w:bottom w:val="single" w:sz="8" w:space="0" w:color="auto"/>
              <w:right w:val="nil"/>
            </w:tcBorders>
            <w:tcMar>
              <w:top w:w="0" w:type="dxa"/>
              <w:left w:w="108" w:type="dxa"/>
              <w:bottom w:w="0" w:type="dxa"/>
              <w:right w:w="108" w:type="dxa"/>
            </w:tcMar>
            <w:hideMark/>
          </w:tcPr>
          <w:p w14:paraId="7EDC1F07" w14:textId="77777777" w:rsidR="006E5C07" w:rsidRPr="006E5C07" w:rsidRDefault="006E5C07" w:rsidP="006E5C07">
            <w:pPr>
              <w:spacing w:after="0" w:line="240" w:lineRule="auto"/>
              <w:jc w:val="right"/>
              <w:rPr>
                <w:rFonts w:ascii="Calibri" w:eastAsia="Times New Roman" w:hAnsi="Calibri" w:cs="Calibri"/>
              </w:rPr>
            </w:pPr>
          </w:p>
        </w:tc>
        <w:tc>
          <w:tcPr>
            <w:tcW w:w="1439" w:type="dxa"/>
            <w:tcBorders>
              <w:top w:val="nil"/>
              <w:left w:val="nil"/>
              <w:bottom w:val="single" w:sz="8" w:space="0" w:color="auto"/>
              <w:right w:val="nil"/>
            </w:tcBorders>
            <w:tcMar>
              <w:top w:w="0" w:type="dxa"/>
              <w:left w:w="108" w:type="dxa"/>
              <w:bottom w:w="0" w:type="dxa"/>
              <w:right w:w="108" w:type="dxa"/>
            </w:tcMar>
            <w:hideMark/>
          </w:tcPr>
          <w:p w14:paraId="5D9F5D88"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10FECB1E" w14:textId="77777777" w:rsidTr="006E5C07">
        <w:tc>
          <w:tcPr>
            <w:tcW w:w="4887" w:type="dxa"/>
            <w:tcMar>
              <w:top w:w="0" w:type="dxa"/>
              <w:left w:w="108" w:type="dxa"/>
              <w:bottom w:w="0" w:type="dxa"/>
              <w:right w:w="108" w:type="dxa"/>
            </w:tcMar>
            <w:hideMark/>
          </w:tcPr>
          <w:p w14:paraId="72EA2897"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Operating (loss) / profit</w:t>
            </w:r>
          </w:p>
        </w:tc>
        <w:tc>
          <w:tcPr>
            <w:tcW w:w="635" w:type="dxa"/>
            <w:tcMar>
              <w:top w:w="0" w:type="dxa"/>
              <w:left w:w="108" w:type="dxa"/>
              <w:bottom w:w="0" w:type="dxa"/>
              <w:right w:w="108" w:type="dxa"/>
            </w:tcMar>
            <w:hideMark/>
          </w:tcPr>
          <w:p w14:paraId="1C241188" w14:textId="77777777" w:rsidR="006E5C07" w:rsidRPr="006E5C07" w:rsidRDefault="006E5C07" w:rsidP="006E5C07">
            <w:pPr>
              <w:spacing w:after="0" w:line="240" w:lineRule="auto"/>
              <w:jc w:val="center"/>
              <w:rPr>
                <w:rFonts w:ascii="Calibri" w:eastAsia="Times New Roman" w:hAnsi="Calibri" w:cs="Calibri"/>
              </w:rPr>
            </w:pPr>
          </w:p>
        </w:tc>
        <w:tc>
          <w:tcPr>
            <w:tcW w:w="1201" w:type="dxa"/>
            <w:tcBorders>
              <w:top w:val="nil"/>
              <w:left w:val="nil"/>
              <w:bottom w:val="nil"/>
              <w:right w:val="nil"/>
            </w:tcBorders>
            <w:tcMar>
              <w:top w:w="0" w:type="dxa"/>
              <w:left w:w="108" w:type="dxa"/>
              <w:bottom w:w="0" w:type="dxa"/>
              <w:right w:w="108" w:type="dxa"/>
            </w:tcMar>
            <w:hideMark/>
          </w:tcPr>
          <w:p w14:paraId="2EC15EC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(3,574)</w:t>
            </w:r>
          </w:p>
        </w:tc>
        <w:tc>
          <w:tcPr>
            <w:tcW w:w="1439" w:type="dxa"/>
            <w:tcBorders>
              <w:top w:val="nil"/>
              <w:left w:val="nil"/>
              <w:bottom w:val="nil"/>
              <w:right w:val="nil"/>
            </w:tcBorders>
            <w:tcMar>
              <w:top w:w="0" w:type="dxa"/>
              <w:left w:w="108" w:type="dxa"/>
              <w:bottom w:w="0" w:type="dxa"/>
              <w:right w:w="108" w:type="dxa"/>
            </w:tcMar>
            <w:hideMark/>
          </w:tcPr>
          <w:p w14:paraId="4B5EDADA"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127</w:t>
            </w:r>
          </w:p>
        </w:tc>
      </w:tr>
      <w:tr w:rsidR="006E5C07" w:rsidRPr="006E5C07" w14:paraId="23C20F44" w14:textId="77777777" w:rsidTr="006E5C07">
        <w:tc>
          <w:tcPr>
            <w:tcW w:w="4887" w:type="dxa"/>
            <w:tcMar>
              <w:top w:w="0" w:type="dxa"/>
              <w:left w:w="108" w:type="dxa"/>
              <w:bottom w:w="0" w:type="dxa"/>
              <w:right w:w="108" w:type="dxa"/>
            </w:tcMar>
            <w:hideMark/>
          </w:tcPr>
          <w:p w14:paraId="19C30349" w14:textId="77777777" w:rsidR="006E5C07" w:rsidRPr="006E5C07" w:rsidRDefault="006E5C07" w:rsidP="006E5C07">
            <w:pPr>
              <w:spacing w:after="0" w:line="240" w:lineRule="auto"/>
              <w:rPr>
                <w:rFonts w:ascii="Calibri" w:eastAsia="Times New Roman" w:hAnsi="Calibri" w:cs="Calibri"/>
              </w:rPr>
            </w:pPr>
          </w:p>
        </w:tc>
        <w:tc>
          <w:tcPr>
            <w:tcW w:w="635" w:type="dxa"/>
            <w:tcMar>
              <w:top w:w="0" w:type="dxa"/>
              <w:left w:w="108" w:type="dxa"/>
              <w:bottom w:w="0" w:type="dxa"/>
              <w:right w:w="108" w:type="dxa"/>
            </w:tcMar>
            <w:hideMark/>
          </w:tcPr>
          <w:p w14:paraId="6961C2A3" w14:textId="77777777" w:rsidR="006E5C07" w:rsidRPr="006E5C07" w:rsidRDefault="006E5C07" w:rsidP="006E5C07">
            <w:pPr>
              <w:spacing w:after="0" w:line="240" w:lineRule="auto"/>
              <w:jc w:val="center"/>
              <w:rPr>
                <w:rFonts w:ascii="Calibri" w:eastAsia="Times New Roman" w:hAnsi="Calibri" w:cs="Calibri"/>
              </w:rPr>
            </w:pPr>
          </w:p>
        </w:tc>
        <w:tc>
          <w:tcPr>
            <w:tcW w:w="1201" w:type="dxa"/>
            <w:tcMar>
              <w:top w:w="0" w:type="dxa"/>
              <w:left w:w="108" w:type="dxa"/>
              <w:bottom w:w="0" w:type="dxa"/>
              <w:right w:w="108" w:type="dxa"/>
            </w:tcMar>
            <w:hideMark/>
          </w:tcPr>
          <w:p w14:paraId="6674CD1E" w14:textId="77777777" w:rsidR="006E5C07" w:rsidRPr="006E5C07" w:rsidRDefault="006E5C07" w:rsidP="006E5C07">
            <w:pPr>
              <w:spacing w:after="0" w:line="240" w:lineRule="auto"/>
              <w:jc w:val="right"/>
              <w:rPr>
                <w:rFonts w:ascii="Calibri" w:eastAsia="Times New Roman" w:hAnsi="Calibri" w:cs="Calibri"/>
              </w:rPr>
            </w:pPr>
          </w:p>
        </w:tc>
        <w:tc>
          <w:tcPr>
            <w:tcW w:w="1439" w:type="dxa"/>
            <w:tcMar>
              <w:top w:w="0" w:type="dxa"/>
              <w:left w:w="108" w:type="dxa"/>
              <w:bottom w:w="0" w:type="dxa"/>
              <w:right w:w="108" w:type="dxa"/>
            </w:tcMar>
            <w:hideMark/>
          </w:tcPr>
          <w:p w14:paraId="29EDD2F0"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42F3162D" w14:textId="77777777" w:rsidTr="006E5C07">
        <w:tc>
          <w:tcPr>
            <w:tcW w:w="4887" w:type="dxa"/>
            <w:tcMar>
              <w:top w:w="0" w:type="dxa"/>
              <w:left w:w="108" w:type="dxa"/>
              <w:bottom w:w="0" w:type="dxa"/>
              <w:right w:w="108" w:type="dxa"/>
            </w:tcMar>
            <w:hideMark/>
          </w:tcPr>
          <w:p w14:paraId="66D06184" w14:textId="77777777" w:rsidR="006E5C07" w:rsidRPr="006E5C07" w:rsidRDefault="006E5C07" w:rsidP="006E5C07">
            <w:pPr>
              <w:spacing w:after="0" w:line="240" w:lineRule="auto"/>
              <w:rPr>
                <w:rFonts w:ascii="Calibri" w:eastAsia="Times New Roman" w:hAnsi="Calibri" w:cs="Calibri"/>
              </w:rPr>
            </w:pPr>
          </w:p>
        </w:tc>
        <w:tc>
          <w:tcPr>
            <w:tcW w:w="635" w:type="dxa"/>
            <w:tcMar>
              <w:top w:w="0" w:type="dxa"/>
              <w:left w:w="108" w:type="dxa"/>
              <w:bottom w:w="0" w:type="dxa"/>
              <w:right w:w="108" w:type="dxa"/>
            </w:tcMar>
            <w:hideMark/>
          </w:tcPr>
          <w:p w14:paraId="6339FF89" w14:textId="77777777" w:rsidR="006E5C07" w:rsidRPr="006E5C07" w:rsidRDefault="006E5C07" w:rsidP="006E5C07">
            <w:pPr>
              <w:spacing w:after="0" w:line="240" w:lineRule="auto"/>
              <w:jc w:val="center"/>
              <w:rPr>
                <w:rFonts w:ascii="Calibri" w:eastAsia="Times New Roman" w:hAnsi="Calibri" w:cs="Calibri"/>
              </w:rPr>
            </w:pPr>
          </w:p>
        </w:tc>
        <w:tc>
          <w:tcPr>
            <w:tcW w:w="1201" w:type="dxa"/>
            <w:tcBorders>
              <w:top w:val="single" w:sz="8" w:space="0" w:color="auto"/>
              <w:left w:val="nil"/>
              <w:bottom w:val="nil"/>
              <w:right w:val="nil"/>
            </w:tcBorders>
            <w:tcMar>
              <w:top w:w="0" w:type="dxa"/>
              <w:left w:w="108" w:type="dxa"/>
              <w:bottom w:w="0" w:type="dxa"/>
              <w:right w:w="108" w:type="dxa"/>
            </w:tcMar>
            <w:hideMark/>
          </w:tcPr>
          <w:p w14:paraId="430D0AE7" w14:textId="77777777" w:rsidR="006E5C07" w:rsidRPr="006E5C07" w:rsidRDefault="006E5C07" w:rsidP="006E5C07">
            <w:pPr>
              <w:spacing w:after="0" w:line="240" w:lineRule="auto"/>
              <w:jc w:val="right"/>
              <w:rPr>
                <w:rFonts w:ascii="Calibri" w:eastAsia="Times New Roman" w:hAnsi="Calibri" w:cs="Calibri"/>
              </w:rPr>
            </w:pPr>
          </w:p>
        </w:tc>
        <w:tc>
          <w:tcPr>
            <w:tcW w:w="1439" w:type="dxa"/>
            <w:tcBorders>
              <w:top w:val="single" w:sz="8" w:space="0" w:color="auto"/>
              <w:left w:val="nil"/>
              <w:bottom w:val="nil"/>
              <w:right w:val="nil"/>
            </w:tcBorders>
            <w:tcMar>
              <w:top w:w="0" w:type="dxa"/>
              <w:left w:w="108" w:type="dxa"/>
              <w:bottom w:w="0" w:type="dxa"/>
              <w:right w:w="108" w:type="dxa"/>
            </w:tcMar>
            <w:hideMark/>
          </w:tcPr>
          <w:p w14:paraId="66681B7A"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4D04E80A" w14:textId="77777777" w:rsidTr="006E5C07">
        <w:tc>
          <w:tcPr>
            <w:tcW w:w="4887" w:type="dxa"/>
            <w:tcMar>
              <w:top w:w="0" w:type="dxa"/>
              <w:left w:w="108" w:type="dxa"/>
              <w:bottom w:w="0" w:type="dxa"/>
              <w:right w:w="108" w:type="dxa"/>
            </w:tcMar>
            <w:hideMark/>
          </w:tcPr>
          <w:p w14:paraId="02A683AF"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Finance costs</w:t>
            </w:r>
          </w:p>
        </w:tc>
        <w:tc>
          <w:tcPr>
            <w:tcW w:w="635" w:type="dxa"/>
            <w:tcMar>
              <w:top w:w="0" w:type="dxa"/>
              <w:left w:w="108" w:type="dxa"/>
              <w:bottom w:w="0" w:type="dxa"/>
              <w:right w:w="108" w:type="dxa"/>
            </w:tcMar>
            <w:hideMark/>
          </w:tcPr>
          <w:p w14:paraId="4916810D"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9</w:t>
            </w:r>
          </w:p>
        </w:tc>
        <w:tc>
          <w:tcPr>
            <w:tcW w:w="1201" w:type="dxa"/>
            <w:tcMar>
              <w:top w:w="0" w:type="dxa"/>
              <w:left w:w="108" w:type="dxa"/>
              <w:bottom w:w="0" w:type="dxa"/>
              <w:right w:w="108" w:type="dxa"/>
            </w:tcMar>
            <w:hideMark/>
          </w:tcPr>
          <w:p w14:paraId="7F61BD9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(27)</w:t>
            </w:r>
          </w:p>
        </w:tc>
        <w:tc>
          <w:tcPr>
            <w:tcW w:w="1439" w:type="dxa"/>
            <w:tcMar>
              <w:top w:w="0" w:type="dxa"/>
              <w:left w:w="108" w:type="dxa"/>
              <w:bottom w:w="0" w:type="dxa"/>
              <w:right w:w="108" w:type="dxa"/>
            </w:tcMar>
            <w:hideMark/>
          </w:tcPr>
          <w:p w14:paraId="63B25F7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(23)</w:t>
            </w:r>
          </w:p>
        </w:tc>
      </w:tr>
      <w:tr w:rsidR="006E5C07" w:rsidRPr="006E5C07" w14:paraId="2B82501B" w14:textId="77777777" w:rsidTr="006E5C07">
        <w:tc>
          <w:tcPr>
            <w:tcW w:w="4887" w:type="dxa"/>
            <w:tcMar>
              <w:top w:w="0" w:type="dxa"/>
              <w:left w:w="108" w:type="dxa"/>
              <w:bottom w:w="0" w:type="dxa"/>
              <w:right w:w="108" w:type="dxa"/>
            </w:tcMar>
            <w:hideMark/>
          </w:tcPr>
          <w:p w14:paraId="5046ADFC" w14:textId="77777777" w:rsidR="006E5C07" w:rsidRPr="006E5C07" w:rsidRDefault="006E5C07" w:rsidP="006E5C07">
            <w:pPr>
              <w:spacing w:after="0" w:line="240" w:lineRule="auto"/>
              <w:rPr>
                <w:rFonts w:ascii="Calibri" w:eastAsia="Times New Roman" w:hAnsi="Calibri" w:cs="Calibri"/>
              </w:rPr>
            </w:pPr>
          </w:p>
        </w:tc>
        <w:tc>
          <w:tcPr>
            <w:tcW w:w="635" w:type="dxa"/>
            <w:tcMar>
              <w:top w:w="0" w:type="dxa"/>
              <w:left w:w="108" w:type="dxa"/>
              <w:bottom w:w="0" w:type="dxa"/>
              <w:right w:w="108" w:type="dxa"/>
            </w:tcMar>
            <w:hideMark/>
          </w:tcPr>
          <w:p w14:paraId="428D7B08" w14:textId="77777777" w:rsidR="006E5C07" w:rsidRPr="006E5C07" w:rsidRDefault="006E5C07" w:rsidP="006E5C07">
            <w:pPr>
              <w:spacing w:after="0" w:line="240" w:lineRule="auto"/>
              <w:jc w:val="center"/>
              <w:rPr>
                <w:rFonts w:ascii="Calibri" w:eastAsia="Times New Roman" w:hAnsi="Calibri" w:cs="Calibri"/>
              </w:rPr>
            </w:pPr>
          </w:p>
        </w:tc>
        <w:tc>
          <w:tcPr>
            <w:tcW w:w="1201" w:type="dxa"/>
            <w:tcBorders>
              <w:top w:val="nil"/>
              <w:left w:val="nil"/>
              <w:bottom w:val="single" w:sz="8" w:space="0" w:color="auto"/>
              <w:right w:val="nil"/>
            </w:tcBorders>
            <w:tcMar>
              <w:top w:w="0" w:type="dxa"/>
              <w:left w:w="108" w:type="dxa"/>
              <w:bottom w:w="0" w:type="dxa"/>
              <w:right w:w="108" w:type="dxa"/>
            </w:tcMar>
            <w:hideMark/>
          </w:tcPr>
          <w:p w14:paraId="48B5BD9E" w14:textId="77777777" w:rsidR="006E5C07" w:rsidRPr="006E5C07" w:rsidRDefault="006E5C07" w:rsidP="006E5C07">
            <w:pPr>
              <w:spacing w:after="0" w:line="240" w:lineRule="auto"/>
              <w:jc w:val="right"/>
              <w:rPr>
                <w:rFonts w:ascii="Calibri" w:eastAsia="Times New Roman" w:hAnsi="Calibri" w:cs="Calibri"/>
              </w:rPr>
            </w:pPr>
          </w:p>
        </w:tc>
        <w:tc>
          <w:tcPr>
            <w:tcW w:w="1439" w:type="dxa"/>
            <w:tcBorders>
              <w:top w:val="nil"/>
              <w:left w:val="nil"/>
              <w:bottom w:val="single" w:sz="8" w:space="0" w:color="auto"/>
              <w:right w:val="nil"/>
            </w:tcBorders>
            <w:tcMar>
              <w:top w:w="0" w:type="dxa"/>
              <w:left w:w="108" w:type="dxa"/>
              <w:bottom w:w="0" w:type="dxa"/>
              <w:right w:w="108" w:type="dxa"/>
            </w:tcMar>
            <w:hideMark/>
          </w:tcPr>
          <w:p w14:paraId="7F383CD2"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3E122547" w14:textId="77777777" w:rsidTr="006E5C07">
        <w:tc>
          <w:tcPr>
            <w:tcW w:w="4887" w:type="dxa"/>
            <w:tcMar>
              <w:top w:w="0" w:type="dxa"/>
              <w:left w:w="108" w:type="dxa"/>
              <w:bottom w:w="0" w:type="dxa"/>
              <w:right w:w="108" w:type="dxa"/>
            </w:tcMar>
            <w:hideMark/>
          </w:tcPr>
          <w:p w14:paraId="4147F38D"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(Loss) / profit before taxation</w:t>
            </w:r>
          </w:p>
        </w:tc>
        <w:tc>
          <w:tcPr>
            <w:tcW w:w="635" w:type="dxa"/>
            <w:tcMar>
              <w:top w:w="0" w:type="dxa"/>
              <w:left w:w="108" w:type="dxa"/>
              <w:bottom w:w="0" w:type="dxa"/>
              <w:right w:w="108" w:type="dxa"/>
            </w:tcMar>
            <w:hideMark/>
          </w:tcPr>
          <w:p w14:paraId="0057369A" w14:textId="77777777" w:rsidR="006E5C07" w:rsidRPr="006E5C07" w:rsidRDefault="006E5C07" w:rsidP="006E5C07">
            <w:pPr>
              <w:spacing w:after="0" w:line="240" w:lineRule="auto"/>
              <w:jc w:val="center"/>
              <w:rPr>
                <w:rFonts w:ascii="Calibri" w:eastAsia="Times New Roman" w:hAnsi="Calibri" w:cs="Calibri"/>
              </w:rPr>
            </w:pPr>
          </w:p>
        </w:tc>
        <w:tc>
          <w:tcPr>
            <w:tcW w:w="1201" w:type="dxa"/>
            <w:tcBorders>
              <w:top w:val="nil"/>
              <w:left w:val="nil"/>
              <w:bottom w:val="single" w:sz="8" w:space="0" w:color="auto"/>
              <w:right w:val="nil"/>
            </w:tcBorders>
            <w:tcMar>
              <w:top w:w="0" w:type="dxa"/>
              <w:left w:w="108" w:type="dxa"/>
              <w:bottom w:w="0" w:type="dxa"/>
              <w:right w:w="108" w:type="dxa"/>
            </w:tcMar>
            <w:hideMark/>
          </w:tcPr>
          <w:p w14:paraId="2CD66546"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(3,601)</w:t>
            </w:r>
          </w:p>
        </w:tc>
        <w:tc>
          <w:tcPr>
            <w:tcW w:w="1439" w:type="dxa"/>
            <w:tcBorders>
              <w:top w:val="nil"/>
              <w:left w:val="nil"/>
              <w:bottom w:val="single" w:sz="8" w:space="0" w:color="auto"/>
              <w:right w:val="nil"/>
            </w:tcBorders>
            <w:tcMar>
              <w:top w:w="0" w:type="dxa"/>
              <w:left w:w="108" w:type="dxa"/>
              <w:bottom w:w="0" w:type="dxa"/>
              <w:right w:w="108" w:type="dxa"/>
            </w:tcMar>
            <w:hideMark/>
          </w:tcPr>
          <w:p w14:paraId="37F7F22B"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104</w:t>
            </w:r>
          </w:p>
        </w:tc>
      </w:tr>
      <w:tr w:rsidR="006E5C07" w:rsidRPr="006E5C07" w14:paraId="6965A774" w14:textId="77777777" w:rsidTr="006E5C07">
        <w:tc>
          <w:tcPr>
            <w:tcW w:w="4887" w:type="dxa"/>
            <w:tcMar>
              <w:top w:w="0" w:type="dxa"/>
              <w:left w:w="108" w:type="dxa"/>
              <w:bottom w:w="0" w:type="dxa"/>
              <w:right w:w="108" w:type="dxa"/>
            </w:tcMar>
            <w:hideMark/>
          </w:tcPr>
          <w:p w14:paraId="592CDD79" w14:textId="77777777" w:rsidR="006E5C07" w:rsidRPr="006E5C07" w:rsidRDefault="006E5C07" w:rsidP="006E5C07">
            <w:pPr>
              <w:spacing w:after="0" w:line="240" w:lineRule="auto"/>
              <w:rPr>
                <w:rFonts w:ascii="Calibri" w:eastAsia="Times New Roman" w:hAnsi="Calibri" w:cs="Calibri"/>
                <w:b/>
                <w:bCs/>
              </w:rPr>
            </w:pPr>
          </w:p>
        </w:tc>
        <w:tc>
          <w:tcPr>
            <w:tcW w:w="635" w:type="dxa"/>
            <w:tcMar>
              <w:top w:w="0" w:type="dxa"/>
              <w:left w:w="108" w:type="dxa"/>
              <w:bottom w:w="0" w:type="dxa"/>
              <w:right w:w="108" w:type="dxa"/>
            </w:tcMar>
            <w:hideMark/>
          </w:tcPr>
          <w:p w14:paraId="29394C24" w14:textId="77777777" w:rsidR="006E5C07" w:rsidRPr="006E5C07" w:rsidRDefault="006E5C07" w:rsidP="006E5C07">
            <w:pPr>
              <w:spacing w:after="0" w:line="240" w:lineRule="auto"/>
              <w:jc w:val="center"/>
              <w:rPr>
                <w:rFonts w:ascii="Calibri" w:eastAsia="Times New Roman" w:hAnsi="Calibri" w:cs="Calibri"/>
              </w:rPr>
            </w:pPr>
          </w:p>
        </w:tc>
        <w:tc>
          <w:tcPr>
            <w:tcW w:w="1201" w:type="dxa"/>
            <w:tcBorders>
              <w:top w:val="nil"/>
              <w:left w:val="nil"/>
              <w:bottom w:val="nil"/>
              <w:right w:val="nil"/>
            </w:tcBorders>
            <w:tcMar>
              <w:top w:w="0" w:type="dxa"/>
              <w:left w:w="108" w:type="dxa"/>
              <w:bottom w:w="0" w:type="dxa"/>
              <w:right w:w="108" w:type="dxa"/>
            </w:tcMar>
            <w:hideMark/>
          </w:tcPr>
          <w:p w14:paraId="162ACB1C" w14:textId="77777777" w:rsidR="006E5C07" w:rsidRPr="006E5C07" w:rsidRDefault="006E5C07" w:rsidP="006E5C07">
            <w:pPr>
              <w:spacing w:after="0" w:line="240" w:lineRule="auto"/>
              <w:jc w:val="right"/>
              <w:rPr>
                <w:rFonts w:ascii="Calibri" w:eastAsia="Times New Roman" w:hAnsi="Calibri" w:cs="Calibri"/>
              </w:rPr>
            </w:pPr>
          </w:p>
        </w:tc>
        <w:tc>
          <w:tcPr>
            <w:tcW w:w="1439" w:type="dxa"/>
            <w:tcBorders>
              <w:top w:val="nil"/>
              <w:left w:val="nil"/>
              <w:bottom w:val="nil"/>
              <w:right w:val="nil"/>
            </w:tcBorders>
            <w:tcMar>
              <w:top w:w="0" w:type="dxa"/>
              <w:left w:w="108" w:type="dxa"/>
              <w:bottom w:w="0" w:type="dxa"/>
              <w:right w:w="108" w:type="dxa"/>
            </w:tcMar>
            <w:hideMark/>
          </w:tcPr>
          <w:p w14:paraId="02BEB656"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0261B90D" w14:textId="77777777" w:rsidTr="006E5C07">
        <w:tc>
          <w:tcPr>
            <w:tcW w:w="4887" w:type="dxa"/>
            <w:tcMar>
              <w:top w:w="0" w:type="dxa"/>
              <w:left w:w="108" w:type="dxa"/>
              <w:bottom w:w="0" w:type="dxa"/>
              <w:right w:w="108" w:type="dxa"/>
            </w:tcMar>
            <w:hideMark/>
          </w:tcPr>
          <w:p w14:paraId="7BD5FF68"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Taxation</w:t>
            </w:r>
          </w:p>
        </w:tc>
        <w:tc>
          <w:tcPr>
            <w:tcW w:w="635" w:type="dxa"/>
            <w:tcMar>
              <w:top w:w="0" w:type="dxa"/>
              <w:left w:w="108" w:type="dxa"/>
              <w:bottom w:w="0" w:type="dxa"/>
              <w:right w:w="108" w:type="dxa"/>
            </w:tcMar>
            <w:hideMark/>
          </w:tcPr>
          <w:p w14:paraId="5BB429B2"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10</w:t>
            </w:r>
          </w:p>
        </w:tc>
        <w:tc>
          <w:tcPr>
            <w:tcW w:w="1201" w:type="dxa"/>
            <w:tcMar>
              <w:top w:w="0" w:type="dxa"/>
              <w:left w:w="108" w:type="dxa"/>
              <w:bottom w:w="0" w:type="dxa"/>
              <w:right w:w="108" w:type="dxa"/>
            </w:tcMar>
            <w:hideMark/>
          </w:tcPr>
          <w:p w14:paraId="29B087A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519</w:t>
            </w:r>
          </w:p>
        </w:tc>
        <w:tc>
          <w:tcPr>
            <w:tcW w:w="1439" w:type="dxa"/>
            <w:tcMar>
              <w:top w:w="0" w:type="dxa"/>
              <w:left w:w="108" w:type="dxa"/>
              <w:bottom w:w="0" w:type="dxa"/>
              <w:right w:w="108" w:type="dxa"/>
            </w:tcMar>
            <w:hideMark/>
          </w:tcPr>
          <w:p w14:paraId="7451D4E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(21)</w:t>
            </w:r>
          </w:p>
        </w:tc>
      </w:tr>
    </w:tbl>
    <w:p w14:paraId="7A04E96E" w14:textId="77777777" w:rsidR="006E5C07" w:rsidRPr="006E5C07" w:rsidRDefault="006E5C07" w:rsidP="006E5C07">
      <w:pPr>
        <w:spacing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5029"/>
        <w:gridCol w:w="142"/>
        <w:gridCol w:w="396"/>
        <w:gridCol w:w="1201"/>
        <w:gridCol w:w="1439"/>
      </w:tblGrid>
      <w:tr w:rsidR="006E5C07" w:rsidRPr="006E5C07" w14:paraId="08347DE6" w14:textId="77777777" w:rsidTr="006E5C07">
        <w:tc>
          <w:tcPr>
            <w:tcW w:w="5171" w:type="dxa"/>
            <w:gridSpan w:val="2"/>
            <w:tcMar>
              <w:top w:w="0" w:type="dxa"/>
              <w:left w:w="108" w:type="dxa"/>
              <w:bottom w:w="0" w:type="dxa"/>
              <w:right w:w="108" w:type="dxa"/>
            </w:tcMar>
            <w:hideMark/>
          </w:tcPr>
          <w:p w14:paraId="297C2CA2"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(Loss) / profit after taxation</w:t>
            </w:r>
          </w:p>
        </w:tc>
        <w:tc>
          <w:tcPr>
            <w:tcW w:w="351" w:type="dxa"/>
            <w:tcMar>
              <w:top w:w="0" w:type="dxa"/>
              <w:left w:w="108" w:type="dxa"/>
              <w:bottom w:w="0" w:type="dxa"/>
              <w:right w:w="108" w:type="dxa"/>
            </w:tcMar>
            <w:hideMark/>
          </w:tcPr>
          <w:p w14:paraId="1BC8FD39" w14:textId="77777777" w:rsidR="006E5C07" w:rsidRPr="006E5C07" w:rsidRDefault="006E5C07" w:rsidP="006E5C07">
            <w:pPr>
              <w:spacing w:after="0" w:line="240" w:lineRule="auto"/>
              <w:rPr>
                <w:rFonts w:ascii="Calibri" w:eastAsia="Times New Roman" w:hAnsi="Calibri" w:cs="Calibri"/>
              </w:rPr>
            </w:pPr>
          </w:p>
        </w:tc>
        <w:tc>
          <w:tcPr>
            <w:tcW w:w="1201" w:type="dxa"/>
            <w:tcBorders>
              <w:top w:val="single" w:sz="8" w:space="0" w:color="auto"/>
              <w:left w:val="nil"/>
              <w:bottom w:val="single" w:sz="8" w:space="0" w:color="auto"/>
              <w:right w:val="nil"/>
            </w:tcBorders>
            <w:tcMar>
              <w:top w:w="0" w:type="dxa"/>
              <w:left w:w="108" w:type="dxa"/>
              <w:bottom w:w="0" w:type="dxa"/>
              <w:right w:w="108" w:type="dxa"/>
            </w:tcMar>
            <w:hideMark/>
          </w:tcPr>
          <w:p w14:paraId="08A73A4B"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(3,082)</w:t>
            </w:r>
          </w:p>
        </w:tc>
        <w:tc>
          <w:tcPr>
            <w:tcW w:w="1439" w:type="dxa"/>
            <w:tcBorders>
              <w:top w:val="single" w:sz="8" w:space="0" w:color="auto"/>
              <w:left w:val="nil"/>
              <w:bottom w:val="single" w:sz="8" w:space="0" w:color="auto"/>
              <w:right w:val="nil"/>
            </w:tcBorders>
            <w:tcMar>
              <w:top w:w="0" w:type="dxa"/>
              <w:left w:w="108" w:type="dxa"/>
              <w:bottom w:w="0" w:type="dxa"/>
              <w:right w:w="108" w:type="dxa"/>
            </w:tcMar>
            <w:hideMark/>
          </w:tcPr>
          <w:p w14:paraId="127406C5"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83</w:t>
            </w:r>
          </w:p>
        </w:tc>
      </w:tr>
      <w:tr w:rsidR="006E5C07" w:rsidRPr="006E5C07" w14:paraId="0F4A7E09" w14:textId="77777777" w:rsidTr="006E5C07">
        <w:tc>
          <w:tcPr>
            <w:tcW w:w="5171" w:type="dxa"/>
            <w:gridSpan w:val="2"/>
            <w:tcMar>
              <w:top w:w="0" w:type="dxa"/>
              <w:left w:w="108" w:type="dxa"/>
              <w:bottom w:w="0" w:type="dxa"/>
              <w:right w:w="108" w:type="dxa"/>
            </w:tcMar>
            <w:hideMark/>
          </w:tcPr>
          <w:p w14:paraId="60CE9B39"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 </w:t>
            </w:r>
          </w:p>
          <w:p w14:paraId="7125BC29"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Loss from discontinued operation</w:t>
            </w:r>
          </w:p>
          <w:p w14:paraId="4FB064A8"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tc>
        <w:tc>
          <w:tcPr>
            <w:tcW w:w="351" w:type="dxa"/>
            <w:tcMar>
              <w:top w:w="0" w:type="dxa"/>
              <w:left w:w="108" w:type="dxa"/>
              <w:bottom w:w="0" w:type="dxa"/>
              <w:right w:w="108" w:type="dxa"/>
            </w:tcMar>
            <w:hideMark/>
          </w:tcPr>
          <w:p w14:paraId="3D12734C"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p w14:paraId="07DE0487"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12</w:t>
            </w:r>
          </w:p>
        </w:tc>
        <w:tc>
          <w:tcPr>
            <w:tcW w:w="1201" w:type="dxa"/>
            <w:tcBorders>
              <w:top w:val="nil"/>
              <w:left w:val="nil"/>
              <w:bottom w:val="nil"/>
              <w:right w:val="nil"/>
            </w:tcBorders>
            <w:tcMar>
              <w:top w:w="0" w:type="dxa"/>
              <w:left w:w="108" w:type="dxa"/>
              <w:bottom w:w="0" w:type="dxa"/>
              <w:right w:w="108" w:type="dxa"/>
            </w:tcMar>
            <w:hideMark/>
          </w:tcPr>
          <w:p w14:paraId="6B606151"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 </w:t>
            </w:r>
          </w:p>
          <w:p w14:paraId="6B825C0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(512)</w:t>
            </w:r>
          </w:p>
        </w:tc>
        <w:tc>
          <w:tcPr>
            <w:tcW w:w="1439" w:type="dxa"/>
            <w:tcBorders>
              <w:top w:val="nil"/>
              <w:left w:val="nil"/>
              <w:bottom w:val="nil"/>
              <w:right w:val="nil"/>
            </w:tcBorders>
            <w:tcMar>
              <w:top w:w="0" w:type="dxa"/>
              <w:left w:w="108" w:type="dxa"/>
              <w:bottom w:w="0" w:type="dxa"/>
              <w:right w:w="108" w:type="dxa"/>
            </w:tcMar>
            <w:hideMark/>
          </w:tcPr>
          <w:p w14:paraId="03127A34"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 </w:t>
            </w:r>
          </w:p>
          <w:p w14:paraId="76E6CCC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(41)</w:t>
            </w:r>
          </w:p>
        </w:tc>
      </w:tr>
      <w:tr w:rsidR="006E5C07" w:rsidRPr="006E5C07" w14:paraId="601ED7A9" w14:textId="77777777" w:rsidTr="006E5C07">
        <w:tc>
          <w:tcPr>
            <w:tcW w:w="5171" w:type="dxa"/>
            <w:gridSpan w:val="2"/>
            <w:tcMar>
              <w:top w:w="0" w:type="dxa"/>
              <w:left w:w="108" w:type="dxa"/>
              <w:bottom w:w="0" w:type="dxa"/>
              <w:right w:w="108" w:type="dxa"/>
            </w:tcMar>
            <w:hideMark/>
          </w:tcPr>
          <w:p w14:paraId="37D1C901"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(Loss) / profit for the period</w:t>
            </w:r>
          </w:p>
        </w:tc>
        <w:tc>
          <w:tcPr>
            <w:tcW w:w="351" w:type="dxa"/>
            <w:tcMar>
              <w:top w:w="0" w:type="dxa"/>
              <w:left w:w="108" w:type="dxa"/>
              <w:bottom w:w="0" w:type="dxa"/>
              <w:right w:w="108" w:type="dxa"/>
            </w:tcMar>
            <w:hideMark/>
          </w:tcPr>
          <w:p w14:paraId="06190BE0" w14:textId="77777777" w:rsidR="006E5C07" w:rsidRPr="006E5C07" w:rsidRDefault="006E5C07" w:rsidP="006E5C07">
            <w:pPr>
              <w:spacing w:after="0" w:line="240" w:lineRule="auto"/>
              <w:rPr>
                <w:rFonts w:ascii="Calibri" w:eastAsia="Times New Roman" w:hAnsi="Calibri" w:cs="Calibri"/>
              </w:rPr>
            </w:pPr>
          </w:p>
        </w:tc>
        <w:tc>
          <w:tcPr>
            <w:tcW w:w="1201" w:type="dxa"/>
            <w:tcBorders>
              <w:top w:val="single" w:sz="8" w:space="0" w:color="auto"/>
              <w:left w:val="nil"/>
              <w:bottom w:val="nil"/>
              <w:right w:val="nil"/>
            </w:tcBorders>
            <w:tcMar>
              <w:top w:w="0" w:type="dxa"/>
              <w:left w:w="108" w:type="dxa"/>
              <w:bottom w:w="0" w:type="dxa"/>
              <w:right w:w="108" w:type="dxa"/>
            </w:tcMar>
            <w:hideMark/>
          </w:tcPr>
          <w:p w14:paraId="09E9420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(3,594)</w:t>
            </w:r>
          </w:p>
        </w:tc>
        <w:tc>
          <w:tcPr>
            <w:tcW w:w="1439" w:type="dxa"/>
            <w:tcBorders>
              <w:top w:val="single" w:sz="8" w:space="0" w:color="auto"/>
              <w:left w:val="nil"/>
              <w:bottom w:val="nil"/>
              <w:right w:val="nil"/>
            </w:tcBorders>
            <w:tcMar>
              <w:top w:w="0" w:type="dxa"/>
              <w:left w:w="108" w:type="dxa"/>
              <w:bottom w:w="0" w:type="dxa"/>
              <w:right w:w="108" w:type="dxa"/>
            </w:tcMar>
            <w:hideMark/>
          </w:tcPr>
          <w:p w14:paraId="5497D6F8"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42</w:t>
            </w:r>
          </w:p>
        </w:tc>
      </w:tr>
      <w:tr w:rsidR="006E5C07" w:rsidRPr="006E5C07" w14:paraId="738ACE22" w14:textId="77777777" w:rsidTr="006E5C07">
        <w:tc>
          <w:tcPr>
            <w:tcW w:w="5171" w:type="dxa"/>
            <w:gridSpan w:val="2"/>
            <w:tcMar>
              <w:top w:w="0" w:type="dxa"/>
              <w:left w:w="108" w:type="dxa"/>
              <w:bottom w:w="0" w:type="dxa"/>
              <w:right w:w="108" w:type="dxa"/>
            </w:tcMar>
            <w:hideMark/>
          </w:tcPr>
          <w:p w14:paraId="1A4459FF" w14:textId="77777777" w:rsidR="006E5C07" w:rsidRPr="006E5C07" w:rsidRDefault="006E5C07" w:rsidP="006E5C07">
            <w:pPr>
              <w:spacing w:after="0" w:line="240" w:lineRule="auto"/>
              <w:rPr>
                <w:rFonts w:ascii="Calibri" w:eastAsia="Times New Roman" w:hAnsi="Calibri" w:cs="Calibri"/>
                <w:b/>
                <w:bCs/>
              </w:rPr>
            </w:pPr>
          </w:p>
        </w:tc>
        <w:tc>
          <w:tcPr>
            <w:tcW w:w="351" w:type="dxa"/>
            <w:tcMar>
              <w:top w:w="0" w:type="dxa"/>
              <w:left w:w="108" w:type="dxa"/>
              <w:bottom w:w="0" w:type="dxa"/>
              <w:right w:w="108" w:type="dxa"/>
            </w:tcMar>
            <w:hideMark/>
          </w:tcPr>
          <w:p w14:paraId="4B3D38D1" w14:textId="77777777" w:rsidR="006E5C07" w:rsidRPr="006E5C07" w:rsidRDefault="006E5C07" w:rsidP="006E5C07">
            <w:pPr>
              <w:spacing w:after="0" w:line="240" w:lineRule="auto"/>
              <w:rPr>
                <w:rFonts w:ascii="Calibri" w:eastAsia="Times New Roman" w:hAnsi="Calibri" w:cs="Calibri"/>
              </w:rPr>
            </w:pPr>
          </w:p>
        </w:tc>
        <w:tc>
          <w:tcPr>
            <w:tcW w:w="1201" w:type="dxa"/>
            <w:tcBorders>
              <w:top w:val="single" w:sz="8" w:space="0" w:color="auto"/>
              <w:left w:val="nil"/>
              <w:bottom w:val="nil"/>
              <w:right w:val="nil"/>
            </w:tcBorders>
            <w:tcMar>
              <w:top w:w="0" w:type="dxa"/>
              <w:left w:w="108" w:type="dxa"/>
              <w:bottom w:w="0" w:type="dxa"/>
              <w:right w:w="108" w:type="dxa"/>
            </w:tcMar>
            <w:hideMark/>
          </w:tcPr>
          <w:p w14:paraId="06B99813" w14:textId="77777777" w:rsidR="006E5C07" w:rsidRPr="006E5C07" w:rsidRDefault="006E5C07" w:rsidP="006E5C07">
            <w:pPr>
              <w:spacing w:after="0" w:line="240" w:lineRule="auto"/>
              <w:jc w:val="right"/>
              <w:rPr>
                <w:rFonts w:ascii="Calibri" w:eastAsia="Times New Roman" w:hAnsi="Calibri" w:cs="Calibri"/>
                <w:b/>
                <w:bCs/>
              </w:rPr>
            </w:pPr>
          </w:p>
        </w:tc>
        <w:tc>
          <w:tcPr>
            <w:tcW w:w="1439" w:type="dxa"/>
            <w:tcBorders>
              <w:top w:val="single" w:sz="8" w:space="0" w:color="auto"/>
              <w:left w:val="nil"/>
              <w:bottom w:val="nil"/>
              <w:right w:val="nil"/>
            </w:tcBorders>
            <w:tcMar>
              <w:top w:w="0" w:type="dxa"/>
              <w:left w:w="108" w:type="dxa"/>
              <w:bottom w:w="0" w:type="dxa"/>
              <w:right w:w="108" w:type="dxa"/>
            </w:tcMar>
            <w:hideMark/>
          </w:tcPr>
          <w:p w14:paraId="190BC4D5"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707FB3F5" w14:textId="77777777" w:rsidTr="006E5C07">
        <w:tc>
          <w:tcPr>
            <w:tcW w:w="5171" w:type="dxa"/>
            <w:gridSpan w:val="2"/>
            <w:tcMar>
              <w:top w:w="0" w:type="dxa"/>
              <w:left w:w="108" w:type="dxa"/>
              <w:bottom w:w="0" w:type="dxa"/>
              <w:right w:w="108" w:type="dxa"/>
            </w:tcMar>
            <w:hideMark/>
          </w:tcPr>
          <w:p w14:paraId="2F12D561"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Other comprehensive income</w:t>
            </w:r>
          </w:p>
          <w:p w14:paraId="0090BAC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Foreign exchange differences on translation of foreign operations</w:t>
            </w:r>
          </w:p>
        </w:tc>
        <w:tc>
          <w:tcPr>
            <w:tcW w:w="351" w:type="dxa"/>
            <w:tcMar>
              <w:top w:w="0" w:type="dxa"/>
              <w:left w:w="108" w:type="dxa"/>
              <w:bottom w:w="0" w:type="dxa"/>
              <w:right w:w="108" w:type="dxa"/>
            </w:tcMar>
            <w:hideMark/>
          </w:tcPr>
          <w:p w14:paraId="4B5A94F9" w14:textId="77777777" w:rsidR="006E5C07" w:rsidRPr="006E5C07" w:rsidRDefault="006E5C07" w:rsidP="006E5C07">
            <w:pPr>
              <w:spacing w:after="0" w:line="240" w:lineRule="auto"/>
              <w:rPr>
                <w:rFonts w:ascii="Calibri" w:eastAsia="Times New Roman" w:hAnsi="Calibri" w:cs="Calibri"/>
              </w:rPr>
            </w:pPr>
          </w:p>
        </w:tc>
        <w:tc>
          <w:tcPr>
            <w:tcW w:w="1201" w:type="dxa"/>
            <w:tcMar>
              <w:top w:w="0" w:type="dxa"/>
              <w:left w:w="108" w:type="dxa"/>
              <w:bottom w:w="0" w:type="dxa"/>
              <w:right w:w="108" w:type="dxa"/>
            </w:tcMar>
            <w:hideMark/>
          </w:tcPr>
          <w:p w14:paraId="6D11FA2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65B5E24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(30)</w:t>
            </w:r>
          </w:p>
        </w:tc>
        <w:tc>
          <w:tcPr>
            <w:tcW w:w="1439" w:type="dxa"/>
            <w:tcMar>
              <w:top w:w="0" w:type="dxa"/>
              <w:left w:w="108" w:type="dxa"/>
              <w:bottom w:w="0" w:type="dxa"/>
              <w:right w:w="108" w:type="dxa"/>
            </w:tcMar>
            <w:hideMark/>
          </w:tcPr>
          <w:p w14:paraId="0DB7E99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6387EC4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(21)</w:t>
            </w:r>
          </w:p>
        </w:tc>
      </w:tr>
      <w:tr w:rsidR="006E5C07" w:rsidRPr="006E5C07" w14:paraId="68BD112F" w14:textId="77777777" w:rsidTr="006E5C07">
        <w:tc>
          <w:tcPr>
            <w:tcW w:w="5171" w:type="dxa"/>
            <w:gridSpan w:val="2"/>
            <w:tcMar>
              <w:top w:w="0" w:type="dxa"/>
              <w:left w:w="108" w:type="dxa"/>
              <w:bottom w:w="0" w:type="dxa"/>
              <w:right w:w="108" w:type="dxa"/>
            </w:tcMar>
            <w:hideMark/>
          </w:tcPr>
          <w:p w14:paraId="6E27B43D" w14:textId="77777777" w:rsidR="006E5C07" w:rsidRPr="006E5C07" w:rsidRDefault="006E5C07" w:rsidP="006E5C07">
            <w:pPr>
              <w:spacing w:after="0" w:line="240" w:lineRule="auto"/>
              <w:rPr>
                <w:rFonts w:ascii="Calibri" w:eastAsia="Times New Roman" w:hAnsi="Calibri" w:cs="Calibri"/>
              </w:rPr>
            </w:pPr>
          </w:p>
        </w:tc>
        <w:tc>
          <w:tcPr>
            <w:tcW w:w="351" w:type="dxa"/>
            <w:tcMar>
              <w:top w:w="0" w:type="dxa"/>
              <w:left w:w="108" w:type="dxa"/>
              <w:bottom w:w="0" w:type="dxa"/>
              <w:right w:w="108" w:type="dxa"/>
            </w:tcMar>
            <w:hideMark/>
          </w:tcPr>
          <w:p w14:paraId="043A7A48" w14:textId="77777777" w:rsidR="006E5C07" w:rsidRPr="006E5C07" w:rsidRDefault="006E5C07" w:rsidP="006E5C07">
            <w:pPr>
              <w:spacing w:after="0" w:line="240" w:lineRule="auto"/>
              <w:rPr>
                <w:rFonts w:ascii="Calibri" w:eastAsia="Times New Roman" w:hAnsi="Calibri" w:cs="Calibri"/>
              </w:rPr>
            </w:pPr>
          </w:p>
        </w:tc>
        <w:tc>
          <w:tcPr>
            <w:tcW w:w="1201" w:type="dxa"/>
            <w:tcBorders>
              <w:top w:val="nil"/>
              <w:left w:val="nil"/>
              <w:bottom w:val="single" w:sz="8" w:space="0" w:color="auto"/>
              <w:right w:val="nil"/>
            </w:tcBorders>
            <w:tcMar>
              <w:top w:w="0" w:type="dxa"/>
              <w:left w:w="108" w:type="dxa"/>
              <w:bottom w:w="0" w:type="dxa"/>
              <w:right w:w="108" w:type="dxa"/>
            </w:tcMar>
            <w:hideMark/>
          </w:tcPr>
          <w:p w14:paraId="5271C1D8" w14:textId="77777777" w:rsidR="006E5C07" w:rsidRPr="006E5C07" w:rsidRDefault="006E5C07" w:rsidP="006E5C07">
            <w:pPr>
              <w:spacing w:after="0" w:line="240" w:lineRule="auto"/>
              <w:jc w:val="right"/>
              <w:rPr>
                <w:rFonts w:ascii="Calibri" w:eastAsia="Times New Roman" w:hAnsi="Calibri" w:cs="Calibri"/>
              </w:rPr>
            </w:pPr>
          </w:p>
        </w:tc>
        <w:tc>
          <w:tcPr>
            <w:tcW w:w="1439" w:type="dxa"/>
            <w:tcBorders>
              <w:top w:val="nil"/>
              <w:left w:val="nil"/>
              <w:bottom w:val="single" w:sz="8" w:space="0" w:color="auto"/>
              <w:right w:val="nil"/>
            </w:tcBorders>
            <w:tcMar>
              <w:top w:w="0" w:type="dxa"/>
              <w:left w:w="108" w:type="dxa"/>
              <w:bottom w:w="0" w:type="dxa"/>
              <w:right w:w="108" w:type="dxa"/>
            </w:tcMar>
            <w:hideMark/>
          </w:tcPr>
          <w:p w14:paraId="71266351"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500B6B2C" w14:textId="77777777" w:rsidTr="006E5C07">
        <w:tc>
          <w:tcPr>
            <w:tcW w:w="5171" w:type="dxa"/>
            <w:gridSpan w:val="2"/>
            <w:tcMar>
              <w:top w:w="0" w:type="dxa"/>
              <w:left w:w="108" w:type="dxa"/>
              <w:bottom w:w="0" w:type="dxa"/>
              <w:right w:w="108" w:type="dxa"/>
            </w:tcMar>
            <w:hideMark/>
          </w:tcPr>
          <w:p w14:paraId="38493488"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Total comprehensive income for the period</w:t>
            </w:r>
          </w:p>
        </w:tc>
        <w:tc>
          <w:tcPr>
            <w:tcW w:w="351" w:type="dxa"/>
            <w:tcMar>
              <w:top w:w="0" w:type="dxa"/>
              <w:left w:w="108" w:type="dxa"/>
              <w:bottom w:w="0" w:type="dxa"/>
              <w:right w:w="108" w:type="dxa"/>
            </w:tcMar>
            <w:hideMark/>
          </w:tcPr>
          <w:p w14:paraId="6B7113EE" w14:textId="77777777" w:rsidR="006E5C07" w:rsidRPr="006E5C07" w:rsidRDefault="006E5C07" w:rsidP="006E5C07">
            <w:pPr>
              <w:spacing w:after="0" w:line="240" w:lineRule="auto"/>
              <w:rPr>
                <w:rFonts w:ascii="Calibri" w:eastAsia="Times New Roman" w:hAnsi="Calibri" w:cs="Calibri"/>
              </w:rPr>
            </w:pPr>
          </w:p>
        </w:tc>
        <w:tc>
          <w:tcPr>
            <w:tcW w:w="1201" w:type="dxa"/>
            <w:tcBorders>
              <w:top w:val="nil"/>
              <w:left w:val="nil"/>
              <w:bottom w:val="single" w:sz="8" w:space="0" w:color="auto"/>
              <w:right w:val="nil"/>
            </w:tcBorders>
            <w:tcMar>
              <w:top w:w="0" w:type="dxa"/>
              <w:left w:w="108" w:type="dxa"/>
              <w:bottom w:w="0" w:type="dxa"/>
              <w:right w:w="108" w:type="dxa"/>
            </w:tcMar>
            <w:hideMark/>
          </w:tcPr>
          <w:p w14:paraId="6C167916"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(3,624)</w:t>
            </w:r>
          </w:p>
        </w:tc>
        <w:tc>
          <w:tcPr>
            <w:tcW w:w="1439" w:type="dxa"/>
            <w:tcBorders>
              <w:top w:val="nil"/>
              <w:left w:val="nil"/>
              <w:bottom w:val="single" w:sz="8" w:space="0" w:color="auto"/>
              <w:right w:val="nil"/>
            </w:tcBorders>
            <w:tcMar>
              <w:top w:w="0" w:type="dxa"/>
              <w:left w:w="108" w:type="dxa"/>
              <w:bottom w:w="0" w:type="dxa"/>
              <w:right w:w="108" w:type="dxa"/>
            </w:tcMar>
            <w:hideMark/>
          </w:tcPr>
          <w:p w14:paraId="353022ED"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21</w:t>
            </w:r>
          </w:p>
          <w:p w14:paraId="12B8A129"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 </w:t>
            </w:r>
          </w:p>
        </w:tc>
      </w:tr>
      <w:tr w:rsidR="006E5C07" w:rsidRPr="006E5C07" w14:paraId="3C5EAF99" w14:textId="77777777" w:rsidTr="006E5C07">
        <w:tc>
          <w:tcPr>
            <w:tcW w:w="5171" w:type="dxa"/>
            <w:gridSpan w:val="2"/>
            <w:tcMar>
              <w:top w:w="0" w:type="dxa"/>
              <w:left w:w="108" w:type="dxa"/>
              <w:bottom w:w="0" w:type="dxa"/>
              <w:right w:w="108" w:type="dxa"/>
            </w:tcMar>
            <w:hideMark/>
          </w:tcPr>
          <w:p w14:paraId="611B698C" w14:textId="77777777" w:rsidR="006E5C07" w:rsidRPr="006E5C07" w:rsidRDefault="006E5C07" w:rsidP="006E5C07">
            <w:pPr>
              <w:spacing w:after="0" w:line="240" w:lineRule="auto"/>
              <w:rPr>
                <w:rFonts w:ascii="Calibri" w:eastAsia="Times New Roman" w:hAnsi="Calibri" w:cs="Calibri"/>
                <w:b/>
                <w:bCs/>
              </w:rPr>
            </w:pPr>
          </w:p>
        </w:tc>
        <w:tc>
          <w:tcPr>
            <w:tcW w:w="351" w:type="dxa"/>
            <w:tcMar>
              <w:top w:w="0" w:type="dxa"/>
              <w:left w:w="108" w:type="dxa"/>
              <w:bottom w:w="0" w:type="dxa"/>
              <w:right w:w="108" w:type="dxa"/>
            </w:tcMar>
            <w:hideMark/>
          </w:tcPr>
          <w:p w14:paraId="73AD15A5" w14:textId="77777777" w:rsidR="006E5C07" w:rsidRPr="006E5C07" w:rsidRDefault="006E5C07" w:rsidP="006E5C07">
            <w:pPr>
              <w:spacing w:after="0" w:line="240" w:lineRule="auto"/>
              <w:rPr>
                <w:rFonts w:ascii="Calibri" w:eastAsia="Times New Roman" w:hAnsi="Calibri" w:cs="Calibri"/>
              </w:rPr>
            </w:pPr>
          </w:p>
        </w:tc>
        <w:tc>
          <w:tcPr>
            <w:tcW w:w="1201" w:type="dxa"/>
            <w:tcBorders>
              <w:top w:val="nil"/>
              <w:left w:val="nil"/>
              <w:bottom w:val="nil"/>
              <w:right w:val="nil"/>
            </w:tcBorders>
            <w:tcMar>
              <w:top w:w="0" w:type="dxa"/>
              <w:left w:w="108" w:type="dxa"/>
              <w:bottom w:w="0" w:type="dxa"/>
              <w:right w:w="108" w:type="dxa"/>
            </w:tcMar>
            <w:hideMark/>
          </w:tcPr>
          <w:p w14:paraId="52244976" w14:textId="77777777" w:rsidR="006E5C07" w:rsidRPr="006E5C07" w:rsidRDefault="006E5C07" w:rsidP="006E5C07">
            <w:pPr>
              <w:spacing w:after="0" w:line="240" w:lineRule="auto"/>
              <w:jc w:val="right"/>
              <w:rPr>
                <w:rFonts w:ascii="Calibri" w:eastAsia="Times New Roman" w:hAnsi="Calibri" w:cs="Calibri"/>
                <w:b/>
                <w:bCs/>
              </w:rPr>
            </w:pPr>
          </w:p>
        </w:tc>
        <w:tc>
          <w:tcPr>
            <w:tcW w:w="1439" w:type="dxa"/>
            <w:tcBorders>
              <w:top w:val="nil"/>
              <w:left w:val="nil"/>
              <w:bottom w:val="nil"/>
              <w:right w:val="nil"/>
            </w:tcBorders>
            <w:tcMar>
              <w:top w:w="0" w:type="dxa"/>
              <w:left w:w="108" w:type="dxa"/>
              <w:bottom w:w="0" w:type="dxa"/>
              <w:right w:w="108" w:type="dxa"/>
            </w:tcMar>
            <w:hideMark/>
          </w:tcPr>
          <w:p w14:paraId="55230AB5"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172D68BF" w14:textId="77777777" w:rsidTr="006E5C07">
        <w:tc>
          <w:tcPr>
            <w:tcW w:w="5171" w:type="dxa"/>
            <w:gridSpan w:val="2"/>
            <w:tcMar>
              <w:top w:w="0" w:type="dxa"/>
              <w:left w:w="108" w:type="dxa"/>
              <w:bottom w:w="0" w:type="dxa"/>
              <w:right w:w="108" w:type="dxa"/>
            </w:tcMar>
            <w:hideMark/>
          </w:tcPr>
          <w:p w14:paraId="1783655D"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(Loss) / profit for the period attributable to</w:t>
            </w:r>
          </w:p>
        </w:tc>
        <w:tc>
          <w:tcPr>
            <w:tcW w:w="351" w:type="dxa"/>
            <w:tcMar>
              <w:top w:w="0" w:type="dxa"/>
              <w:left w:w="108" w:type="dxa"/>
              <w:bottom w:w="0" w:type="dxa"/>
              <w:right w:w="108" w:type="dxa"/>
            </w:tcMar>
            <w:hideMark/>
          </w:tcPr>
          <w:p w14:paraId="26D46007" w14:textId="77777777" w:rsidR="006E5C07" w:rsidRPr="006E5C07" w:rsidRDefault="006E5C07" w:rsidP="006E5C07">
            <w:pPr>
              <w:spacing w:after="0" w:line="240" w:lineRule="auto"/>
              <w:rPr>
                <w:rFonts w:ascii="Calibri" w:eastAsia="Times New Roman" w:hAnsi="Calibri" w:cs="Calibri"/>
              </w:rPr>
            </w:pPr>
          </w:p>
        </w:tc>
        <w:tc>
          <w:tcPr>
            <w:tcW w:w="1201" w:type="dxa"/>
            <w:tcMar>
              <w:top w:w="0" w:type="dxa"/>
              <w:left w:w="108" w:type="dxa"/>
              <w:bottom w:w="0" w:type="dxa"/>
              <w:right w:w="108" w:type="dxa"/>
            </w:tcMar>
            <w:hideMark/>
          </w:tcPr>
          <w:p w14:paraId="3C74ABB5" w14:textId="77777777" w:rsidR="006E5C07" w:rsidRPr="006E5C07" w:rsidRDefault="006E5C07" w:rsidP="006E5C07">
            <w:pPr>
              <w:spacing w:after="0" w:line="240" w:lineRule="auto"/>
              <w:jc w:val="right"/>
              <w:rPr>
                <w:rFonts w:ascii="Calibri" w:eastAsia="Times New Roman" w:hAnsi="Calibri" w:cs="Calibri"/>
                <w:b/>
                <w:bCs/>
              </w:rPr>
            </w:pPr>
          </w:p>
        </w:tc>
        <w:tc>
          <w:tcPr>
            <w:tcW w:w="1439" w:type="dxa"/>
            <w:tcMar>
              <w:top w:w="0" w:type="dxa"/>
              <w:left w:w="108" w:type="dxa"/>
              <w:bottom w:w="0" w:type="dxa"/>
              <w:right w:w="108" w:type="dxa"/>
            </w:tcMar>
            <w:hideMark/>
          </w:tcPr>
          <w:p w14:paraId="62EC1D50"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59F5F88F" w14:textId="77777777" w:rsidTr="006E5C07">
        <w:tc>
          <w:tcPr>
            <w:tcW w:w="5171" w:type="dxa"/>
            <w:gridSpan w:val="2"/>
            <w:tcMar>
              <w:top w:w="0" w:type="dxa"/>
              <w:left w:w="108" w:type="dxa"/>
              <w:bottom w:w="0" w:type="dxa"/>
              <w:right w:w="108" w:type="dxa"/>
            </w:tcMar>
            <w:hideMark/>
          </w:tcPr>
          <w:p w14:paraId="4418235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Owners of the Company</w:t>
            </w:r>
          </w:p>
        </w:tc>
        <w:tc>
          <w:tcPr>
            <w:tcW w:w="351" w:type="dxa"/>
            <w:tcMar>
              <w:top w:w="0" w:type="dxa"/>
              <w:left w:w="108" w:type="dxa"/>
              <w:bottom w:w="0" w:type="dxa"/>
              <w:right w:w="108" w:type="dxa"/>
            </w:tcMar>
            <w:hideMark/>
          </w:tcPr>
          <w:p w14:paraId="6D103357" w14:textId="77777777" w:rsidR="006E5C07" w:rsidRPr="006E5C07" w:rsidRDefault="006E5C07" w:rsidP="006E5C07">
            <w:pPr>
              <w:spacing w:after="0" w:line="240" w:lineRule="auto"/>
              <w:rPr>
                <w:rFonts w:ascii="Calibri" w:eastAsia="Times New Roman" w:hAnsi="Calibri" w:cs="Calibri"/>
              </w:rPr>
            </w:pPr>
          </w:p>
        </w:tc>
        <w:tc>
          <w:tcPr>
            <w:tcW w:w="1201" w:type="dxa"/>
            <w:tcMar>
              <w:top w:w="0" w:type="dxa"/>
              <w:left w:w="108" w:type="dxa"/>
              <w:bottom w:w="0" w:type="dxa"/>
              <w:right w:w="108" w:type="dxa"/>
            </w:tcMar>
            <w:hideMark/>
          </w:tcPr>
          <w:p w14:paraId="218E8B0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(3,355)</w:t>
            </w:r>
          </w:p>
        </w:tc>
        <w:tc>
          <w:tcPr>
            <w:tcW w:w="1439" w:type="dxa"/>
            <w:tcMar>
              <w:top w:w="0" w:type="dxa"/>
              <w:left w:w="108" w:type="dxa"/>
              <w:bottom w:w="0" w:type="dxa"/>
              <w:right w:w="108" w:type="dxa"/>
            </w:tcMar>
            <w:hideMark/>
          </w:tcPr>
          <w:p w14:paraId="7478D0F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60</w:t>
            </w:r>
          </w:p>
        </w:tc>
      </w:tr>
      <w:tr w:rsidR="006E5C07" w:rsidRPr="006E5C07" w14:paraId="17861B5B" w14:textId="77777777" w:rsidTr="006E5C07">
        <w:tc>
          <w:tcPr>
            <w:tcW w:w="5171" w:type="dxa"/>
            <w:gridSpan w:val="2"/>
            <w:tcMar>
              <w:top w:w="0" w:type="dxa"/>
              <w:left w:w="108" w:type="dxa"/>
              <w:bottom w:w="0" w:type="dxa"/>
              <w:right w:w="108" w:type="dxa"/>
            </w:tcMar>
            <w:hideMark/>
          </w:tcPr>
          <w:p w14:paraId="4C4D7BF6"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Non-controlling interests</w:t>
            </w:r>
          </w:p>
        </w:tc>
        <w:tc>
          <w:tcPr>
            <w:tcW w:w="351" w:type="dxa"/>
            <w:tcMar>
              <w:top w:w="0" w:type="dxa"/>
              <w:left w:w="108" w:type="dxa"/>
              <w:bottom w:w="0" w:type="dxa"/>
              <w:right w:w="108" w:type="dxa"/>
            </w:tcMar>
            <w:hideMark/>
          </w:tcPr>
          <w:p w14:paraId="5399696D" w14:textId="77777777" w:rsidR="006E5C07" w:rsidRPr="006E5C07" w:rsidRDefault="006E5C07" w:rsidP="006E5C07">
            <w:pPr>
              <w:spacing w:after="0" w:line="240" w:lineRule="auto"/>
              <w:rPr>
                <w:rFonts w:ascii="Calibri" w:eastAsia="Times New Roman" w:hAnsi="Calibri" w:cs="Calibri"/>
              </w:rPr>
            </w:pPr>
          </w:p>
        </w:tc>
        <w:tc>
          <w:tcPr>
            <w:tcW w:w="1201" w:type="dxa"/>
            <w:tcBorders>
              <w:top w:val="nil"/>
              <w:left w:val="nil"/>
              <w:bottom w:val="single" w:sz="8" w:space="0" w:color="auto"/>
              <w:right w:val="nil"/>
            </w:tcBorders>
            <w:tcMar>
              <w:top w:w="0" w:type="dxa"/>
              <w:left w:w="108" w:type="dxa"/>
              <w:bottom w:w="0" w:type="dxa"/>
              <w:right w:w="108" w:type="dxa"/>
            </w:tcMar>
            <w:hideMark/>
          </w:tcPr>
          <w:p w14:paraId="3F6E6B5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(239)</w:t>
            </w:r>
          </w:p>
        </w:tc>
        <w:tc>
          <w:tcPr>
            <w:tcW w:w="1439" w:type="dxa"/>
            <w:tcBorders>
              <w:top w:val="nil"/>
              <w:left w:val="nil"/>
              <w:bottom w:val="single" w:sz="8" w:space="0" w:color="auto"/>
              <w:right w:val="nil"/>
            </w:tcBorders>
            <w:tcMar>
              <w:top w:w="0" w:type="dxa"/>
              <w:left w:w="108" w:type="dxa"/>
              <w:bottom w:w="0" w:type="dxa"/>
              <w:right w:w="108" w:type="dxa"/>
            </w:tcMar>
            <w:hideMark/>
          </w:tcPr>
          <w:p w14:paraId="0A19B6C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(18)</w:t>
            </w:r>
          </w:p>
        </w:tc>
      </w:tr>
      <w:tr w:rsidR="006E5C07" w:rsidRPr="006E5C07" w14:paraId="7AC85D22" w14:textId="77777777" w:rsidTr="006E5C07">
        <w:tc>
          <w:tcPr>
            <w:tcW w:w="5171" w:type="dxa"/>
            <w:gridSpan w:val="2"/>
            <w:tcMar>
              <w:top w:w="0" w:type="dxa"/>
              <w:left w:w="108" w:type="dxa"/>
              <w:bottom w:w="0" w:type="dxa"/>
              <w:right w:w="108" w:type="dxa"/>
            </w:tcMar>
            <w:hideMark/>
          </w:tcPr>
          <w:p w14:paraId="0ED43FD6" w14:textId="77777777" w:rsidR="006E5C07" w:rsidRPr="006E5C07" w:rsidRDefault="006E5C07" w:rsidP="006E5C07">
            <w:pPr>
              <w:spacing w:after="0" w:line="240" w:lineRule="auto"/>
              <w:rPr>
                <w:rFonts w:ascii="Calibri" w:eastAsia="Times New Roman" w:hAnsi="Calibri" w:cs="Calibri"/>
                <w:b/>
                <w:bCs/>
              </w:rPr>
            </w:pPr>
          </w:p>
        </w:tc>
        <w:tc>
          <w:tcPr>
            <w:tcW w:w="351" w:type="dxa"/>
            <w:tcMar>
              <w:top w:w="0" w:type="dxa"/>
              <w:left w:w="108" w:type="dxa"/>
              <w:bottom w:w="0" w:type="dxa"/>
              <w:right w:w="108" w:type="dxa"/>
            </w:tcMar>
            <w:hideMark/>
          </w:tcPr>
          <w:p w14:paraId="7FA1BD0B" w14:textId="77777777" w:rsidR="006E5C07" w:rsidRPr="006E5C07" w:rsidRDefault="006E5C07" w:rsidP="006E5C07">
            <w:pPr>
              <w:spacing w:after="0" w:line="240" w:lineRule="auto"/>
              <w:rPr>
                <w:rFonts w:ascii="Calibri" w:eastAsia="Times New Roman" w:hAnsi="Calibri" w:cs="Calibri"/>
              </w:rPr>
            </w:pPr>
          </w:p>
        </w:tc>
        <w:tc>
          <w:tcPr>
            <w:tcW w:w="1201" w:type="dxa"/>
            <w:tcBorders>
              <w:top w:val="nil"/>
              <w:left w:val="nil"/>
              <w:bottom w:val="single" w:sz="8" w:space="0" w:color="auto"/>
              <w:right w:val="nil"/>
            </w:tcBorders>
            <w:tcMar>
              <w:top w:w="0" w:type="dxa"/>
              <w:left w:w="108" w:type="dxa"/>
              <w:bottom w:w="0" w:type="dxa"/>
              <w:right w:w="108" w:type="dxa"/>
            </w:tcMar>
            <w:hideMark/>
          </w:tcPr>
          <w:p w14:paraId="7ADE5A0F"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(3,594)</w:t>
            </w:r>
          </w:p>
        </w:tc>
        <w:tc>
          <w:tcPr>
            <w:tcW w:w="1439" w:type="dxa"/>
            <w:tcBorders>
              <w:top w:val="nil"/>
              <w:left w:val="nil"/>
              <w:bottom w:val="single" w:sz="8" w:space="0" w:color="auto"/>
              <w:right w:val="nil"/>
            </w:tcBorders>
            <w:tcMar>
              <w:top w:w="0" w:type="dxa"/>
              <w:left w:w="108" w:type="dxa"/>
              <w:bottom w:w="0" w:type="dxa"/>
              <w:right w:w="108" w:type="dxa"/>
            </w:tcMar>
            <w:hideMark/>
          </w:tcPr>
          <w:p w14:paraId="3F31F673"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42</w:t>
            </w:r>
          </w:p>
        </w:tc>
      </w:tr>
      <w:tr w:rsidR="006E5C07" w:rsidRPr="006E5C07" w14:paraId="0E43A8A5" w14:textId="77777777" w:rsidTr="006E5C07">
        <w:tc>
          <w:tcPr>
            <w:tcW w:w="5171" w:type="dxa"/>
            <w:gridSpan w:val="2"/>
            <w:tcMar>
              <w:top w:w="0" w:type="dxa"/>
              <w:left w:w="108" w:type="dxa"/>
              <w:bottom w:w="0" w:type="dxa"/>
              <w:right w:w="108" w:type="dxa"/>
            </w:tcMar>
            <w:hideMark/>
          </w:tcPr>
          <w:p w14:paraId="73A9ECDD"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Total comprehensive income for the period attributable to</w:t>
            </w:r>
          </w:p>
        </w:tc>
        <w:tc>
          <w:tcPr>
            <w:tcW w:w="351" w:type="dxa"/>
            <w:tcMar>
              <w:top w:w="0" w:type="dxa"/>
              <w:left w:w="108" w:type="dxa"/>
              <w:bottom w:w="0" w:type="dxa"/>
              <w:right w:w="108" w:type="dxa"/>
            </w:tcMar>
            <w:hideMark/>
          </w:tcPr>
          <w:p w14:paraId="58F0E2E1" w14:textId="77777777" w:rsidR="006E5C07" w:rsidRPr="006E5C07" w:rsidRDefault="006E5C07" w:rsidP="006E5C07">
            <w:pPr>
              <w:spacing w:after="0" w:line="240" w:lineRule="auto"/>
              <w:rPr>
                <w:rFonts w:ascii="Calibri" w:eastAsia="Times New Roman" w:hAnsi="Calibri" w:cs="Calibri"/>
              </w:rPr>
            </w:pPr>
          </w:p>
        </w:tc>
        <w:tc>
          <w:tcPr>
            <w:tcW w:w="1201" w:type="dxa"/>
            <w:tcBorders>
              <w:top w:val="nil"/>
              <w:left w:val="nil"/>
              <w:bottom w:val="nil"/>
              <w:right w:val="nil"/>
            </w:tcBorders>
            <w:tcMar>
              <w:top w:w="0" w:type="dxa"/>
              <w:left w:w="108" w:type="dxa"/>
              <w:bottom w:w="0" w:type="dxa"/>
              <w:right w:w="108" w:type="dxa"/>
            </w:tcMar>
            <w:hideMark/>
          </w:tcPr>
          <w:p w14:paraId="2C3CB0AD" w14:textId="77777777" w:rsidR="006E5C07" w:rsidRPr="006E5C07" w:rsidRDefault="006E5C07" w:rsidP="006E5C07">
            <w:pPr>
              <w:spacing w:after="0" w:line="240" w:lineRule="auto"/>
              <w:jc w:val="right"/>
              <w:rPr>
                <w:rFonts w:ascii="Calibri" w:eastAsia="Times New Roman" w:hAnsi="Calibri" w:cs="Calibri"/>
                <w:b/>
                <w:bCs/>
              </w:rPr>
            </w:pPr>
          </w:p>
        </w:tc>
        <w:tc>
          <w:tcPr>
            <w:tcW w:w="1439" w:type="dxa"/>
            <w:tcBorders>
              <w:top w:val="nil"/>
              <w:left w:val="nil"/>
              <w:bottom w:val="nil"/>
              <w:right w:val="nil"/>
            </w:tcBorders>
            <w:tcMar>
              <w:top w:w="0" w:type="dxa"/>
              <w:left w:w="108" w:type="dxa"/>
              <w:bottom w:w="0" w:type="dxa"/>
              <w:right w:w="108" w:type="dxa"/>
            </w:tcMar>
            <w:hideMark/>
          </w:tcPr>
          <w:p w14:paraId="2F5295A5"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2206DB52" w14:textId="77777777" w:rsidTr="006E5C07">
        <w:tc>
          <w:tcPr>
            <w:tcW w:w="5171" w:type="dxa"/>
            <w:gridSpan w:val="2"/>
            <w:tcMar>
              <w:top w:w="0" w:type="dxa"/>
              <w:left w:w="108" w:type="dxa"/>
              <w:bottom w:w="0" w:type="dxa"/>
              <w:right w:w="108" w:type="dxa"/>
            </w:tcMar>
            <w:hideMark/>
          </w:tcPr>
          <w:p w14:paraId="54A98347"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Owners of the Company</w:t>
            </w:r>
          </w:p>
        </w:tc>
        <w:tc>
          <w:tcPr>
            <w:tcW w:w="351" w:type="dxa"/>
            <w:tcMar>
              <w:top w:w="0" w:type="dxa"/>
              <w:left w:w="108" w:type="dxa"/>
              <w:bottom w:w="0" w:type="dxa"/>
              <w:right w:w="108" w:type="dxa"/>
            </w:tcMar>
            <w:hideMark/>
          </w:tcPr>
          <w:p w14:paraId="061E239F" w14:textId="77777777" w:rsidR="006E5C07" w:rsidRPr="006E5C07" w:rsidRDefault="006E5C07" w:rsidP="006E5C07">
            <w:pPr>
              <w:spacing w:after="0" w:line="240" w:lineRule="auto"/>
              <w:rPr>
                <w:rFonts w:ascii="Calibri" w:eastAsia="Times New Roman" w:hAnsi="Calibri" w:cs="Calibri"/>
              </w:rPr>
            </w:pPr>
          </w:p>
        </w:tc>
        <w:tc>
          <w:tcPr>
            <w:tcW w:w="1201" w:type="dxa"/>
            <w:tcMar>
              <w:top w:w="0" w:type="dxa"/>
              <w:left w:w="108" w:type="dxa"/>
              <w:bottom w:w="0" w:type="dxa"/>
              <w:right w:w="108" w:type="dxa"/>
            </w:tcMar>
            <w:hideMark/>
          </w:tcPr>
          <w:p w14:paraId="4D4942A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(3,385)</w:t>
            </w:r>
          </w:p>
        </w:tc>
        <w:tc>
          <w:tcPr>
            <w:tcW w:w="1439" w:type="dxa"/>
            <w:tcMar>
              <w:top w:w="0" w:type="dxa"/>
              <w:left w:w="108" w:type="dxa"/>
              <w:bottom w:w="0" w:type="dxa"/>
              <w:right w:w="108" w:type="dxa"/>
            </w:tcMar>
            <w:hideMark/>
          </w:tcPr>
          <w:p w14:paraId="0E8F143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39</w:t>
            </w:r>
          </w:p>
        </w:tc>
      </w:tr>
      <w:tr w:rsidR="006E5C07" w:rsidRPr="006E5C07" w14:paraId="57D0C9A7" w14:textId="77777777" w:rsidTr="006E5C07">
        <w:tc>
          <w:tcPr>
            <w:tcW w:w="5171" w:type="dxa"/>
            <w:gridSpan w:val="2"/>
            <w:tcMar>
              <w:top w:w="0" w:type="dxa"/>
              <w:left w:w="108" w:type="dxa"/>
              <w:bottom w:w="0" w:type="dxa"/>
              <w:right w:w="108" w:type="dxa"/>
            </w:tcMar>
            <w:hideMark/>
          </w:tcPr>
          <w:p w14:paraId="7C1896C0"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Non-controlling interests</w:t>
            </w:r>
          </w:p>
        </w:tc>
        <w:tc>
          <w:tcPr>
            <w:tcW w:w="351" w:type="dxa"/>
            <w:tcMar>
              <w:top w:w="0" w:type="dxa"/>
              <w:left w:w="108" w:type="dxa"/>
              <w:bottom w:w="0" w:type="dxa"/>
              <w:right w:w="108" w:type="dxa"/>
            </w:tcMar>
            <w:hideMark/>
          </w:tcPr>
          <w:p w14:paraId="565C4C45" w14:textId="77777777" w:rsidR="006E5C07" w:rsidRPr="006E5C07" w:rsidRDefault="006E5C07" w:rsidP="006E5C07">
            <w:pPr>
              <w:spacing w:after="0" w:line="240" w:lineRule="auto"/>
              <w:rPr>
                <w:rFonts w:ascii="Calibri" w:eastAsia="Times New Roman" w:hAnsi="Calibri" w:cs="Calibri"/>
              </w:rPr>
            </w:pPr>
          </w:p>
        </w:tc>
        <w:tc>
          <w:tcPr>
            <w:tcW w:w="1201" w:type="dxa"/>
            <w:tcBorders>
              <w:top w:val="nil"/>
              <w:left w:val="nil"/>
              <w:bottom w:val="single" w:sz="8" w:space="0" w:color="auto"/>
              <w:right w:val="nil"/>
            </w:tcBorders>
            <w:tcMar>
              <w:top w:w="0" w:type="dxa"/>
              <w:left w:w="108" w:type="dxa"/>
              <w:bottom w:w="0" w:type="dxa"/>
              <w:right w:w="108" w:type="dxa"/>
            </w:tcMar>
            <w:hideMark/>
          </w:tcPr>
          <w:p w14:paraId="2DE6CB1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(239)</w:t>
            </w:r>
          </w:p>
        </w:tc>
        <w:tc>
          <w:tcPr>
            <w:tcW w:w="1439" w:type="dxa"/>
            <w:tcBorders>
              <w:top w:val="nil"/>
              <w:left w:val="nil"/>
              <w:bottom w:val="single" w:sz="8" w:space="0" w:color="auto"/>
              <w:right w:val="nil"/>
            </w:tcBorders>
            <w:tcMar>
              <w:top w:w="0" w:type="dxa"/>
              <w:left w:w="108" w:type="dxa"/>
              <w:bottom w:w="0" w:type="dxa"/>
              <w:right w:w="108" w:type="dxa"/>
            </w:tcMar>
            <w:hideMark/>
          </w:tcPr>
          <w:p w14:paraId="0A0AB50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(18)</w:t>
            </w:r>
          </w:p>
        </w:tc>
      </w:tr>
      <w:tr w:rsidR="006E5C07" w:rsidRPr="006E5C07" w14:paraId="57E8C82C" w14:textId="77777777" w:rsidTr="006E5C07">
        <w:tc>
          <w:tcPr>
            <w:tcW w:w="5171" w:type="dxa"/>
            <w:gridSpan w:val="2"/>
            <w:tcMar>
              <w:top w:w="0" w:type="dxa"/>
              <w:left w:w="108" w:type="dxa"/>
              <w:bottom w:w="0" w:type="dxa"/>
              <w:right w:w="108" w:type="dxa"/>
            </w:tcMar>
            <w:hideMark/>
          </w:tcPr>
          <w:p w14:paraId="7FD4F743" w14:textId="77777777" w:rsidR="006E5C07" w:rsidRPr="006E5C07" w:rsidRDefault="006E5C07" w:rsidP="006E5C07">
            <w:pPr>
              <w:spacing w:after="0" w:line="240" w:lineRule="auto"/>
              <w:rPr>
                <w:rFonts w:ascii="Calibri" w:eastAsia="Times New Roman" w:hAnsi="Calibri" w:cs="Calibri"/>
                <w:b/>
                <w:bCs/>
              </w:rPr>
            </w:pPr>
          </w:p>
        </w:tc>
        <w:tc>
          <w:tcPr>
            <w:tcW w:w="351" w:type="dxa"/>
            <w:tcMar>
              <w:top w:w="0" w:type="dxa"/>
              <w:left w:w="108" w:type="dxa"/>
              <w:bottom w:w="0" w:type="dxa"/>
              <w:right w:w="108" w:type="dxa"/>
            </w:tcMar>
            <w:hideMark/>
          </w:tcPr>
          <w:p w14:paraId="281EBF40" w14:textId="77777777" w:rsidR="006E5C07" w:rsidRPr="006E5C07" w:rsidRDefault="006E5C07" w:rsidP="006E5C07">
            <w:pPr>
              <w:spacing w:after="0" w:line="240" w:lineRule="auto"/>
              <w:rPr>
                <w:rFonts w:ascii="Calibri" w:eastAsia="Times New Roman" w:hAnsi="Calibri" w:cs="Calibri"/>
              </w:rPr>
            </w:pPr>
          </w:p>
        </w:tc>
        <w:tc>
          <w:tcPr>
            <w:tcW w:w="1201" w:type="dxa"/>
            <w:tcBorders>
              <w:top w:val="nil"/>
              <w:left w:val="nil"/>
              <w:bottom w:val="single" w:sz="8" w:space="0" w:color="auto"/>
              <w:right w:val="nil"/>
            </w:tcBorders>
            <w:tcMar>
              <w:top w:w="0" w:type="dxa"/>
              <w:left w:w="108" w:type="dxa"/>
              <w:bottom w:w="0" w:type="dxa"/>
              <w:right w:w="108" w:type="dxa"/>
            </w:tcMar>
            <w:hideMark/>
          </w:tcPr>
          <w:p w14:paraId="3E9BC21B"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(3,624)</w:t>
            </w:r>
          </w:p>
        </w:tc>
        <w:tc>
          <w:tcPr>
            <w:tcW w:w="1439" w:type="dxa"/>
            <w:tcBorders>
              <w:top w:val="nil"/>
              <w:left w:val="nil"/>
              <w:bottom w:val="single" w:sz="8" w:space="0" w:color="auto"/>
              <w:right w:val="nil"/>
            </w:tcBorders>
            <w:tcMar>
              <w:top w:w="0" w:type="dxa"/>
              <w:left w:w="108" w:type="dxa"/>
              <w:bottom w:w="0" w:type="dxa"/>
              <w:right w:w="108" w:type="dxa"/>
            </w:tcMar>
            <w:hideMark/>
          </w:tcPr>
          <w:p w14:paraId="78726710"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21</w:t>
            </w:r>
          </w:p>
        </w:tc>
      </w:tr>
      <w:tr w:rsidR="006E5C07" w:rsidRPr="006E5C07" w14:paraId="759D45FC" w14:textId="77777777" w:rsidTr="006E5C07">
        <w:tc>
          <w:tcPr>
            <w:tcW w:w="5171" w:type="dxa"/>
            <w:gridSpan w:val="2"/>
            <w:tcMar>
              <w:top w:w="0" w:type="dxa"/>
              <w:left w:w="108" w:type="dxa"/>
              <w:bottom w:w="0" w:type="dxa"/>
              <w:right w:w="108" w:type="dxa"/>
            </w:tcMar>
            <w:hideMark/>
          </w:tcPr>
          <w:p w14:paraId="18542777" w14:textId="77777777" w:rsidR="006E5C07" w:rsidRPr="006E5C07" w:rsidRDefault="006E5C07" w:rsidP="006E5C07">
            <w:pPr>
              <w:spacing w:after="0" w:line="240" w:lineRule="auto"/>
              <w:rPr>
                <w:rFonts w:ascii="Calibri" w:eastAsia="Times New Roman" w:hAnsi="Calibri" w:cs="Calibri"/>
                <w:b/>
                <w:bCs/>
              </w:rPr>
            </w:pPr>
          </w:p>
        </w:tc>
        <w:tc>
          <w:tcPr>
            <w:tcW w:w="351" w:type="dxa"/>
            <w:tcMar>
              <w:top w:w="0" w:type="dxa"/>
              <w:left w:w="108" w:type="dxa"/>
              <w:bottom w:w="0" w:type="dxa"/>
              <w:right w:w="108" w:type="dxa"/>
            </w:tcMar>
            <w:hideMark/>
          </w:tcPr>
          <w:p w14:paraId="6F7AADC9" w14:textId="77777777" w:rsidR="006E5C07" w:rsidRPr="006E5C07" w:rsidRDefault="006E5C07" w:rsidP="006E5C07">
            <w:pPr>
              <w:spacing w:after="0" w:line="240" w:lineRule="auto"/>
              <w:rPr>
                <w:rFonts w:ascii="Calibri" w:eastAsia="Times New Roman" w:hAnsi="Calibri" w:cs="Calibri"/>
              </w:rPr>
            </w:pPr>
          </w:p>
        </w:tc>
        <w:tc>
          <w:tcPr>
            <w:tcW w:w="1201" w:type="dxa"/>
            <w:tcBorders>
              <w:top w:val="nil"/>
              <w:left w:val="nil"/>
              <w:bottom w:val="nil"/>
              <w:right w:val="nil"/>
            </w:tcBorders>
            <w:tcMar>
              <w:top w:w="0" w:type="dxa"/>
              <w:left w:w="108" w:type="dxa"/>
              <w:bottom w:w="0" w:type="dxa"/>
              <w:right w:w="108" w:type="dxa"/>
            </w:tcMar>
            <w:hideMark/>
          </w:tcPr>
          <w:p w14:paraId="5069E2A4" w14:textId="77777777" w:rsidR="006E5C07" w:rsidRPr="006E5C07" w:rsidRDefault="006E5C07" w:rsidP="006E5C07">
            <w:pPr>
              <w:spacing w:after="0" w:line="240" w:lineRule="auto"/>
              <w:jc w:val="right"/>
              <w:rPr>
                <w:rFonts w:ascii="Calibri" w:eastAsia="Times New Roman" w:hAnsi="Calibri" w:cs="Calibri"/>
                <w:b/>
                <w:bCs/>
              </w:rPr>
            </w:pPr>
          </w:p>
        </w:tc>
        <w:tc>
          <w:tcPr>
            <w:tcW w:w="1439" w:type="dxa"/>
            <w:tcBorders>
              <w:top w:val="nil"/>
              <w:left w:val="nil"/>
              <w:bottom w:val="nil"/>
              <w:right w:val="nil"/>
            </w:tcBorders>
            <w:tcMar>
              <w:top w:w="0" w:type="dxa"/>
              <w:left w:w="108" w:type="dxa"/>
              <w:bottom w:w="0" w:type="dxa"/>
              <w:right w:w="108" w:type="dxa"/>
            </w:tcMar>
            <w:hideMark/>
          </w:tcPr>
          <w:p w14:paraId="092899B4"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6CEE805E" w14:textId="77777777" w:rsidTr="006E5C07">
        <w:tc>
          <w:tcPr>
            <w:tcW w:w="5029" w:type="dxa"/>
            <w:tcMar>
              <w:top w:w="0" w:type="dxa"/>
              <w:left w:w="108" w:type="dxa"/>
              <w:bottom w:w="0" w:type="dxa"/>
              <w:right w:w="108" w:type="dxa"/>
            </w:tcMar>
            <w:hideMark/>
          </w:tcPr>
          <w:p w14:paraId="2D92CC35"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 </w:t>
            </w:r>
          </w:p>
          <w:p w14:paraId="73B0EA3D"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(Loss) / earnings per share</w:t>
            </w:r>
          </w:p>
        </w:tc>
        <w:tc>
          <w:tcPr>
            <w:tcW w:w="493" w:type="dxa"/>
            <w:gridSpan w:val="2"/>
            <w:tcMar>
              <w:top w:w="0" w:type="dxa"/>
              <w:left w:w="108" w:type="dxa"/>
              <w:bottom w:w="0" w:type="dxa"/>
              <w:right w:w="108" w:type="dxa"/>
            </w:tcMar>
            <w:hideMark/>
          </w:tcPr>
          <w:p w14:paraId="65170FF5"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 </w:t>
            </w:r>
          </w:p>
          <w:p w14:paraId="40CC1620"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26</w:t>
            </w:r>
          </w:p>
        </w:tc>
        <w:tc>
          <w:tcPr>
            <w:tcW w:w="1201" w:type="dxa"/>
            <w:tcMar>
              <w:top w:w="0" w:type="dxa"/>
              <w:left w:w="108" w:type="dxa"/>
              <w:bottom w:w="0" w:type="dxa"/>
              <w:right w:w="108" w:type="dxa"/>
            </w:tcMar>
            <w:hideMark/>
          </w:tcPr>
          <w:p w14:paraId="7079A795" w14:textId="77777777" w:rsidR="006E5C07" w:rsidRPr="006E5C07" w:rsidRDefault="006E5C07" w:rsidP="006E5C07">
            <w:pPr>
              <w:spacing w:after="0" w:line="240" w:lineRule="auto"/>
              <w:jc w:val="center"/>
              <w:rPr>
                <w:rFonts w:ascii="Calibri" w:eastAsia="Times New Roman" w:hAnsi="Calibri" w:cs="Calibri"/>
              </w:rPr>
            </w:pPr>
          </w:p>
        </w:tc>
        <w:tc>
          <w:tcPr>
            <w:tcW w:w="1439" w:type="dxa"/>
            <w:tcMar>
              <w:top w:w="0" w:type="dxa"/>
              <w:left w:w="108" w:type="dxa"/>
              <w:bottom w:w="0" w:type="dxa"/>
              <w:right w:w="108" w:type="dxa"/>
            </w:tcMar>
            <w:hideMark/>
          </w:tcPr>
          <w:p w14:paraId="061EF6CB" w14:textId="77777777" w:rsidR="006E5C07" w:rsidRPr="006E5C07" w:rsidRDefault="006E5C07" w:rsidP="006E5C07">
            <w:pPr>
              <w:spacing w:after="0" w:line="240" w:lineRule="auto"/>
              <w:jc w:val="center"/>
              <w:rPr>
                <w:rFonts w:ascii="Calibri" w:eastAsia="Times New Roman" w:hAnsi="Calibri" w:cs="Calibri"/>
              </w:rPr>
            </w:pPr>
          </w:p>
        </w:tc>
      </w:tr>
      <w:tr w:rsidR="006E5C07" w:rsidRPr="006E5C07" w14:paraId="50A0B8D8" w14:textId="77777777" w:rsidTr="006E5C07">
        <w:tc>
          <w:tcPr>
            <w:tcW w:w="5029" w:type="dxa"/>
            <w:tcMar>
              <w:top w:w="0" w:type="dxa"/>
              <w:left w:w="108" w:type="dxa"/>
              <w:bottom w:w="0" w:type="dxa"/>
              <w:right w:w="108" w:type="dxa"/>
            </w:tcMar>
            <w:hideMark/>
          </w:tcPr>
          <w:p w14:paraId="14BF7FF3"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Basic - before non-recurring charges and discontinued operation</w:t>
            </w:r>
          </w:p>
        </w:tc>
        <w:tc>
          <w:tcPr>
            <w:tcW w:w="493" w:type="dxa"/>
            <w:gridSpan w:val="2"/>
            <w:tcMar>
              <w:top w:w="0" w:type="dxa"/>
              <w:left w:w="108" w:type="dxa"/>
              <w:bottom w:w="0" w:type="dxa"/>
              <w:right w:w="108" w:type="dxa"/>
            </w:tcMar>
            <w:hideMark/>
          </w:tcPr>
          <w:p w14:paraId="119C530A" w14:textId="77777777" w:rsidR="006E5C07" w:rsidRPr="006E5C07" w:rsidRDefault="006E5C07" w:rsidP="006E5C07">
            <w:pPr>
              <w:spacing w:after="0" w:line="240" w:lineRule="auto"/>
              <w:jc w:val="center"/>
              <w:rPr>
                <w:rFonts w:ascii="Calibri" w:eastAsia="Times New Roman" w:hAnsi="Calibri" w:cs="Calibri"/>
              </w:rPr>
            </w:pPr>
          </w:p>
        </w:tc>
        <w:tc>
          <w:tcPr>
            <w:tcW w:w="1201" w:type="dxa"/>
            <w:tcMar>
              <w:top w:w="0" w:type="dxa"/>
              <w:left w:w="108" w:type="dxa"/>
              <w:bottom w:w="0" w:type="dxa"/>
              <w:right w:w="108" w:type="dxa"/>
            </w:tcMar>
            <w:hideMark/>
          </w:tcPr>
          <w:p w14:paraId="352A5E3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(7.2)p</w:t>
            </w:r>
          </w:p>
        </w:tc>
        <w:tc>
          <w:tcPr>
            <w:tcW w:w="1439" w:type="dxa"/>
            <w:tcMar>
              <w:top w:w="0" w:type="dxa"/>
              <w:left w:w="108" w:type="dxa"/>
              <w:bottom w:w="0" w:type="dxa"/>
              <w:right w:w="108" w:type="dxa"/>
            </w:tcMar>
            <w:hideMark/>
          </w:tcPr>
          <w:p w14:paraId="356DCEB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0.3p</w:t>
            </w:r>
          </w:p>
        </w:tc>
      </w:tr>
      <w:tr w:rsidR="006E5C07" w:rsidRPr="006E5C07" w14:paraId="72993C57" w14:textId="77777777" w:rsidTr="006E5C07">
        <w:tc>
          <w:tcPr>
            <w:tcW w:w="5029" w:type="dxa"/>
            <w:tcMar>
              <w:top w:w="0" w:type="dxa"/>
              <w:left w:w="108" w:type="dxa"/>
              <w:bottom w:w="0" w:type="dxa"/>
              <w:right w:w="108" w:type="dxa"/>
            </w:tcMar>
            <w:hideMark/>
          </w:tcPr>
          <w:p w14:paraId="40E0194D"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Basic - after non-recurring charges and discontinued operation</w:t>
            </w:r>
          </w:p>
        </w:tc>
        <w:tc>
          <w:tcPr>
            <w:tcW w:w="493" w:type="dxa"/>
            <w:gridSpan w:val="2"/>
            <w:tcMar>
              <w:top w:w="0" w:type="dxa"/>
              <w:left w:w="108" w:type="dxa"/>
              <w:bottom w:w="0" w:type="dxa"/>
              <w:right w:w="108" w:type="dxa"/>
            </w:tcMar>
            <w:hideMark/>
          </w:tcPr>
          <w:p w14:paraId="703768D9" w14:textId="77777777" w:rsidR="006E5C07" w:rsidRPr="006E5C07" w:rsidRDefault="006E5C07" w:rsidP="006E5C07">
            <w:pPr>
              <w:spacing w:after="0" w:line="240" w:lineRule="auto"/>
              <w:jc w:val="center"/>
              <w:rPr>
                <w:rFonts w:ascii="Calibri" w:eastAsia="Times New Roman" w:hAnsi="Calibri" w:cs="Calibri"/>
              </w:rPr>
            </w:pPr>
          </w:p>
        </w:tc>
        <w:tc>
          <w:tcPr>
            <w:tcW w:w="1201" w:type="dxa"/>
            <w:tcMar>
              <w:top w:w="0" w:type="dxa"/>
              <w:left w:w="108" w:type="dxa"/>
              <w:bottom w:w="0" w:type="dxa"/>
              <w:right w:w="108" w:type="dxa"/>
            </w:tcMar>
            <w:hideMark/>
          </w:tcPr>
          <w:p w14:paraId="18BE50C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(17.2)p</w:t>
            </w:r>
          </w:p>
        </w:tc>
        <w:tc>
          <w:tcPr>
            <w:tcW w:w="1439" w:type="dxa"/>
            <w:tcMar>
              <w:top w:w="0" w:type="dxa"/>
              <w:left w:w="108" w:type="dxa"/>
              <w:bottom w:w="0" w:type="dxa"/>
              <w:right w:w="108" w:type="dxa"/>
            </w:tcMar>
            <w:hideMark/>
          </w:tcPr>
          <w:p w14:paraId="582DDD8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0.3p</w:t>
            </w:r>
          </w:p>
        </w:tc>
      </w:tr>
      <w:tr w:rsidR="006E5C07" w:rsidRPr="006E5C07" w14:paraId="2689868D" w14:textId="77777777" w:rsidTr="006E5C07">
        <w:tc>
          <w:tcPr>
            <w:tcW w:w="5029" w:type="dxa"/>
            <w:tcMar>
              <w:top w:w="0" w:type="dxa"/>
              <w:left w:w="108" w:type="dxa"/>
              <w:bottom w:w="0" w:type="dxa"/>
              <w:right w:w="108" w:type="dxa"/>
            </w:tcMar>
            <w:hideMark/>
          </w:tcPr>
          <w:p w14:paraId="7BACD8CD"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Diluted - before non-recurring charges and discontinued operation</w:t>
            </w:r>
          </w:p>
        </w:tc>
        <w:tc>
          <w:tcPr>
            <w:tcW w:w="493" w:type="dxa"/>
            <w:gridSpan w:val="2"/>
            <w:tcMar>
              <w:top w:w="0" w:type="dxa"/>
              <w:left w:w="108" w:type="dxa"/>
              <w:bottom w:w="0" w:type="dxa"/>
              <w:right w:w="108" w:type="dxa"/>
            </w:tcMar>
            <w:hideMark/>
          </w:tcPr>
          <w:p w14:paraId="310632C6" w14:textId="77777777" w:rsidR="006E5C07" w:rsidRPr="006E5C07" w:rsidRDefault="006E5C07" w:rsidP="006E5C07">
            <w:pPr>
              <w:spacing w:after="0" w:line="240" w:lineRule="auto"/>
              <w:jc w:val="center"/>
              <w:rPr>
                <w:rFonts w:ascii="Calibri" w:eastAsia="Times New Roman" w:hAnsi="Calibri" w:cs="Calibri"/>
              </w:rPr>
            </w:pPr>
          </w:p>
        </w:tc>
        <w:tc>
          <w:tcPr>
            <w:tcW w:w="1201" w:type="dxa"/>
            <w:tcMar>
              <w:top w:w="0" w:type="dxa"/>
              <w:left w:w="108" w:type="dxa"/>
              <w:bottom w:w="0" w:type="dxa"/>
              <w:right w:w="108" w:type="dxa"/>
            </w:tcMar>
            <w:hideMark/>
          </w:tcPr>
          <w:p w14:paraId="55D6AAF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(7.2)p</w:t>
            </w:r>
          </w:p>
        </w:tc>
        <w:tc>
          <w:tcPr>
            <w:tcW w:w="1439" w:type="dxa"/>
            <w:tcMar>
              <w:top w:w="0" w:type="dxa"/>
              <w:left w:w="108" w:type="dxa"/>
              <w:bottom w:w="0" w:type="dxa"/>
              <w:right w:w="108" w:type="dxa"/>
            </w:tcMar>
            <w:hideMark/>
          </w:tcPr>
          <w:p w14:paraId="2769F28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0.3p</w:t>
            </w:r>
          </w:p>
        </w:tc>
      </w:tr>
      <w:tr w:rsidR="006E5C07" w:rsidRPr="006E5C07" w14:paraId="505F287D" w14:textId="77777777" w:rsidTr="006E5C07">
        <w:tc>
          <w:tcPr>
            <w:tcW w:w="5029" w:type="dxa"/>
            <w:tcMar>
              <w:top w:w="0" w:type="dxa"/>
              <w:left w:w="108" w:type="dxa"/>
              <w:bottom w:w="0" w:type="dxa"/>
              <w:right w:w="108" w:type="dxa"/>
            </w:tcMar>
            <w:hideMark/>
          </w:tcPr>
          <w:p w14:paraId="04FB857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Diluted - after non-recurring charges and discontinued operation</w:t>
            </w:r>
          </w:p>
        </w:tc>
        <w:tc>
          <w:tcPr>
            <w:tcW w:w="493" w:type="dxa"/>
            <w:gridSpan w:val="2"/>
            <w:tcMar>
              <w:top w:w="0" w:type="dxa"/>
              <w:left w:w="108" w:type="dxa"/>
              <w:bottom w:w="0" w:type="dxa"/>
              <w:right w:w="108" w:type="dxa"/>
            </w:tcMar>
            <w:hideMark/>
          </w:tcPr>
          <w:p w14:paraId="403C39EA" w14:textId="77777777" w:rsidR="006E5C07" w:rsidRPr="006E5C07" w:rsidRDefault="006E5C07" w:rsidP="006E5C07">
            <w:pPr>
              <w:spacing w:after="0" w:line="240" w:lineRule="auto"/>
              <w:jc w:val="center"/>
              <w:rPr>
                <w:rFonts w:ascii="Calibri" w:eastAsia="Times New Roman" w:hAnsi="Calibri" w:cs="Calibri"/>
              </w:rPr>
            </w:pPr>
          </w:p>
        </w:tc>
        <w:tc>
          <w:tcPr>
            <w:tcW w:w="1201" w:type="dxa"/>
            <w:tcMar>
              <w:top w:w="0" w:type="dxa"/>
              <w:left w:w="108" w:type="dxa"/>
              <w:bottom w:w="0" w:type="dxa"/>
              <w:right w:w="108" w:type="dxa"/>
            </w:tcMar>
            <w:hideMark/>
          </w:tcPr>
          <w:p w14:paraId="6186A05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(17.2)p</w:t>
            </w:r>
          </w:p>
        </w:tc>
        <w:tc>
          <w:tcPr>
            <w:tcW w:w="1439" w:type="dxa"/>
            <w:tcMar>
              <w:top w:w="0" w:type="dxa"/>
              <w:left w:w="108" w:type="dxa"/>
              <w:bottom w:w="0" w:type="dxa"/>
              <w:right w:w="108" w:type="dxa"/>
            </w:tcMar>
            <w:hideMark/>
          </w:tcPr>
          <w:p w14:paraId="04C3389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0.3p</w:t>
            </w:r>
          </w:p>
        </w:tc>
      </w:tr>
      <w:tr w:rsidR="006E5C07" w:rsidRPr="006E5C07" w14:paraId="65284CE3" w14:textId="77777777" w:rsidTr="006E5C07">
        <w:tc>
          <w:tcPr>
            <w:tcW w:w="0" w:type="auto"/>
            <w:tcBorders>
              <w:top w:val="nil"/>
              <w:left w:val="nil"/>
              <w:bottom w:val="nil"/>
              <w:right w:val="nil"/>
            </w:tcBorders>
            <w:vAlign w:val="center"/>
            <w:hideMark/>
          </w:tcPr>
          <w:p w14:paraId="6DA11441" w14:textId="77777777" w:rsidR="006E5C07" w:rsidRPr="006E5C07" w:rsidRDefault="006E5C07" w:rsidP="006E5C07">
            <w:pPr>
              <w:spacing w:after="0" w:line="240" w:lineRule="auto"/>
              <w:rPr>
                <w:rFonts w:ascii="Calibri" w:eastAsia="Times New Roman" w:hAnsi="Calibri" w:cs="Calibri"/>
              </w:rPr>
            </w:pPr>
          </w:p>
        </w:tc>
        <w:tc>
          <w:tcPr>
            <w:tcW w:w="0" w:type="auto"/>
            <w:tcBorders>
              <w:top w:val="nil"/>
              <w:left w:val="nil"/>
              <w:bottom w:val="nil"/>
              <w:right w:val="nil"/>
            </w:tcBorders>
            <w:vAlign w:val="center"/>
            <w:hideMark/>
          </w:tcPr>
          <w:p w14:paraId="57930171" w14:textId="77777777" w:rsidR="006E5C07" w:rsidRPr="006E5C07" w:rsidRDefault="006E5C07" w:rsidP="006E5C0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3DAB2165" w14:textId="77777777" w:rsidR="006E5C07" w:rsidRPr="006E5C07" w:rsidRDefault="006E5C07" w:rsidP="006E5C0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692CF542" w14:textId="77777777" w:rsidR="006E5C07" w:rsidRPr="006E5C07" w:rsidRDefault="006E5C07" w:rsidP="006E5C0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7CC9CF72" w14:textId="77777777" w:rsidR="006E5C07" w:rsidRPr="006E5C07" w:rsidRDefault="006E5C07" w:rsidP="006E5C07">
            <w:pPr>
              <w:spacing w:after="0" w:line="240" w:lineRule="auto"/>
              <w:rPr>
                <w:rFonts w:ascii="Times New Roman" w:eastAsia="Times New Roman" w:hAnsi="Times New Roman" w:cs="Times New Roman"/>
                <w:sz w:val="20"/>
                <w:szCs w:val="20"/>
              </w:rPr>
            </w:pPr>
          </w:p>
        </w:tc>
      </w:tr>
    </w:tbl>
    <w:p w14:paraId="561A7FB3" w14:textId="77777777" w:rsidR="006E5C07" w:rsidRPr="006E5C07" w:rsidRDefault="006E5C07" w:rsidP="006E5C07">
      <w:pPr>
        <w:spacing w:after="0" w:line="240" w:lineRule="auto"/>
        <w:jc w:val="center"/>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51A1CAB2" w14:textId="77777777" w:rsidR="006E5C07" w:rsidRPr="006E5C07" w:rsidRDefault="006E5C07" w:rsidP="006E5C07">
      <w:pPr>
        <w:spacing w:after="0" w:line="240" w:lineRule="auto"/>
        <w:jc w:val="center"/>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46E9F23E" w14:textId="77777777" w:rsidR="006E5C07" w:rsidRPr="006E5C07" w:rsidRDefault="006E5C07" w:rsidP="006E5C07">
      <w:pPr>
        <w:spacing w:after="0" w:line="240" w:lineRule="auto"/>
        <w:jc w:val="center"/>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17FF1DBA" w14:textId="77777777" w:rsidR="006E5C07" w:rsidRPr="006E5C07" w:rsidRDefault="006E5C07" w:rsidP="006E5C07">
      <w:pPr>
        <w:spacing w:after="200" w:line="253" w:lineRule="atLeast"/>
        <w:rPr>
          <w:rFonts w:ascii="Calibri" w:eastAsia="Times New Roman" w:hAnsi="Calibri" w:cs="Calibri"/>
          <w:color w:val="16202C"/>
          <w:u w:val="single"/>
        </w:rPr>
      </w:pPr>
      <w:r w:rsidRPr="006E5C07">
        <w:rPr>
          <w:rFonts w:ascii="Gill Sans MT" w:eastAsia="Times New Roman" w:hAnsi="Gill Sans MT" w:cs="Calibri"/>
          <w:color w:val="16202C"/>
          <w:sz w:val="18"/>
          <w:szCs w:val="18"/>
          <w:u w:val="single"/>
        </w:rPr>
        <w:t>Consolidated Statement of Financial Position</w:t>
      </w:r>
    </w:p>
    <w:p w14:paraId="31241CF2" w14:textId="77777777" w:rsidR="006E5C07" w:rsidRPr="006E5C07" w:rsidRDefault="006E5C07" w:rsidP="006E5C07">
      <w:pPr>
        <w:spacing w:line="253" w:lineRule="atLeast"/>
        <w:rPr>
          <w:rFonts w:ascii="Calibri" w:eastAsia="Times New Roman" w:hAnsi="Calibri" w:cs="Calibri"/>
          <w:color w:val="16202C"/>
          <w:u w:val="single"/>
        </w:rPr>
      </w:pPr>
      <w:r w:rsidRPr="006E5C07">
        <w:rPr>
          <w:rFonts w:ascii="Gill Sans MT" w:eastAsia="Times New Roman" w:hAnsi="Gill Sans MT" w:cs="Calibri"/>
          <w:color w:val="16202C"/>
          <w:sz w:val="18"/>
          <w:szCs w:val="18"/>
          <w:u w:val="single"/>
        </w:rPr>
        <w:t>At 31 December 2020</w:t>
      </w:r>
    </w:p>
    <w:tbl>
      <w:tblPr>
        <w:tblW w:w="0" w:type="auto"/>
        <w:tblInd w:w="-108" w:type="dxa"/>
        <w:tblCellMar>
          <w:left w:w="0" w:type="dxa"/>
          <w:right w:w="0" w:type="dxa"/>
        </w:tblCellMar>
        <w:tblLook w:val="04A0" w:firstRow="1" w:lastRow="0" w:firstColumn="1" w:lastColumn="0" w:noHBand="0" w:noVBand="1"/>
      </w:tblPr>
      <w:tblGrid>
        <w:gridCol w:w="3365"/>
        <w:gridCol w:w="672"/>
        <w:gridCol w:w="2153"/>
        <w:gridCol w:w="2152"/>
      </w:tblGrid>
      <w:tr w:rsidR="006E5C07" w:rsidRPr="006E5C07" w14:paraId="36588746" w14:textId="77777777" w:rsidTr="006E5C07">
        <w:tc>
          <w:tcPr>
            <w:tcW w:w="3365" w:type="dxa"/>
            <w:tcMar>
              <w:top w:w="0" w:type="dxa"/>
              <w:left w:w="108" w:type="dxa"/>
              <w:bottom w:w="0" w:type="dxa"/>
              <w:right w:w="108" w:type="dxa"/>
            </w:tcMar>
            <w:hideMark/>
          </w:tcPr>
          <w:p w14:paraId="5177487B" w14:textId="77777777" w:rsidR="006E5C07" w:rsidRPr="006E5C07" w:rsidRDefault="006E5C07" w:rsidP="006E5C07">
            <w:pPr>
              <w:spacing w:after="0" w:line="240" w:lineRule="auto"/>
              <w:rPr>
                <w:rFonts w:ascii="Calibri" w:eastAsia="Times New Roman" w:hAnsi="Calibri" w:cs="Calibri"/>
              </w:rPr>
            </w:pPr>
          </w:p>
        </w:tc>
        <w:tc>
          <w:tcPr>
            <w:tcW w:w="492" w:type="dxa"/>
            <w:tcMar>
              <w:top w:w="0" w:type="dxa"/>
              <w:left w:w="108" w:type="dxa"/>
              <w:bottom w:w="0" w:type="dxa"/>
              <w:right w:w="108" w:type="dxa"/>
            </w:tcMar>
            <w:hideMark/>
          </w:tcPr>
          <w:p w14:paraId="682464FB"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Notes</w:t>
            </w:r>
          </w:p>
        </w:tc>
        <w:tc>
          <w:tcPr>
            <w:tcW w:w="2153" w:type="dxa"/>
            <w:tcMar>
              <w:top w:w="0" w:type="dxa"/>
              <w:left w:w="108" w:type="dxa"/>
              <w:bottom w:w="0" w:type="dxa"/>
              <w:right w:w="108" w:type="dxa"/>
            </w:tcMar>
            <w:hideMark/>
          </w:tcPr>
          <w:p w14:paraId="5742EA4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'20</w:t>
            </w:r>
          </w:p>
        </w:tc>
        <w:tc>
          <w:tcPr>
            <w:tcW w:w="2152" w:type="dxa"/>
            <w:tcMar>
              <w:top w:w="0" w:type="dxa"/>
              <w:left w:w="108" w:type="dxa"/>
              <w:bottom w:w="0" w:type="dxa"/>
              <w:right w:w="108" w:type="dxa"/>
            </w:tcMar>
            <w:hideMark/>
          </w:tcPr>
          <w:p w14:paraId="3D2220E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'19</w:t>
            </w:r>
          </w:p>
          <w:p w14:paraId="6155DEF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as restated</w:t>
            </w:r>
          </w:p>
        </w:tc>
      </w:tr>
      <w:tr w:rsidR="006E5C07" w:rsidRPr="006E5C07" w14:paraId="17083EC9" w14:textId="77777777" w:rsidTr="006E5C07">
        <w:tc>
          <w:tcPr>
            <w:tcW w:w="3365" w:type="dxa"/>
            <w:tcMar>
              <w:top w:w="0" w:type="dxa"/>
              <w:left w:w="108" w:type="dxa"/>
              <w:bottom w:w="0" w:type="dxa"/>
              <w:right w:w="108" w:type="dxa"/>
            </w:tcMar>
            <w:hideMark/>
          </w:tcPr>
          <w:p w14:paraId="7D4A4977" w14:textId="77777777" w:rsidR="006E5C07" w:rsidRPr="006E5C07" w:rsidRDefault="006E5C07" w:rsidP="006E5C07">
            <w:pPr>
              <w:spacing w:after="0" w:line="240" w:lineRule="auto"/>
              <w:rPr>
                <w:rFonts w:ascii="Calibri" w:eastAsia="Times New Roman" w:hAnsi="Calibri" w:cs="Calibri"/>
              </w:rPr>
            </w:pPr>
          </w:p>
        </w:tc>
        <w:tc>
          <w:tcPr>
            <w:tcW w:w="492" w:type="dxa"/>
            <w:tcMar>
              <w:top w:w="0" w:type="dxa"/>
              <w:left w:w="108" w:type="dxa"/>
              <w:bottom w:w="0" w:type="dxa"/>
              <w:right w:w="108" w:type="dxa"/>
            </w:tcMar>
            <w:hideMark/>
          </w:tcPr>
          <w:p w14:paraId="25F14D8C" w14:textId="77777777" w:rsidR="006E5C07" w:rsidRPr="006E5C07" w:rsidRDefault="006E5C07" w:rsidP="006E5C07">
            <w:pPr>
              <w:spacing w:after="0" w:line="240" w:lineRule="auto"/>
              <w:jc w:val="center"/>
              <w:rPr>
                <w:rFonts w:ascii="Calibri" w:eastAsia="Times New Roman" w:hAnsi="Calibri" w:cs="Calibri"/>
              </w:rPr>
            </w:pPr>
          </w:p>
        </w:tc>
        <w:tc>
          <w:tcPr>
            <w:tcW w:w="2153" w:type="dxa"/>
            <w:tcMar>
              <w:top w:w="0" w:type="dxa"/>
              <w:left w:w="108" w:type="dxa"/>
              <w:bottom w:w="0" w:type="dxa"/>
              <w:right w:w="108" w:type="dxa"/>
            </w:tcMar>
            <w:hideMark/>
          </w:tcPr>
          <w:p w14:paraId="3538BC5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2152" w:type="dxa"/>
            <w:tcMar>
              <w:top w:w="0" w:type="dxa"/>
              <w:left w:w="108" w:type="dxa"/>
              <w:bottom w:w="0" w:type="dxa"/>
              <w:right w:w="108" w:type="dxa"/>
            </w:tcMar>
            <w:hideMark/>
          </w:tcPr>
          <w:p w14:paraId="5C9D3BB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3D5E9401" w14:textId="77777777" w:rsidTr="006E5C07">
        <w:tc>
          <w:tcPr>
            <w:tcW w:w="3365" w:type="dxa"/>
            <w:tcMar>
              <w:top w:w="0" w:type="dxa"/>
              <w:left w:w="108" w:type="dxa"/>
              <w:bottom w:w="0" w:type="dxa"/>
              <w:right w:w="108" w:type="dxa"/>
            </w:tcMar>
            <w:hideMark/>
          </w:tcPr>
          <w:p w14:paraId="325D690E"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Assets</w:t>
            </w:r>
          </w:p>
        </w:tc>
        <w:tc>
          <w:tcPr>
            <w:tcW w:w="492" w:type="dxa"/>
            <w:tcMar>
              <w:top w:w="0" w:type="dxa"/>
              <w:left w:w="108" w:type="dxa"/>
              <w:bottom w:w="0" w:type="dxa"/>
              <w:right w:w="108" w:type="dxa"/>
            </w:tcMar>
            <w:hideMark/>
          </w:tcPr>
          <w:p w14:paraId="4494153A" w14:textId="77777777" w:rsidR="006E5C07" w:rsidRPr="006E5C07" w:rsidRDefault="006E5C07" w:rsidP="006E5C07">
            <w:pPr>
              <w:spacing w:after="0" w:line="240" w:lineRule="auto"/>
              <w:jc w:val="center"/>
              <w:rPr>
                <w:rFonts w:ascii="Calibri" w:eastAsia="Times New Roman" w:hAnsi="Calibri" w:cs="Calibri"/>
              </w:rPr>
            </w:pPr>
          </w:p>
        </w:tc>
        <w:tc>
          <w:tcPr>
            <w:tcW w:w="2153" w:type="dxa"/>
            <w:tcMar>
              <w:top w:w="0" w:type="dxa"/>
              <w:left w:w="108" w:type="dxa"/>
              <w:bottom w:w="0" w:type="dxa"/>
              <w:right w:w="108" w:type="dxa"/>
            </w:tcMar>
            <w:hideMark/>
          </w:tcPr>
          <w:p w14:paraId="7FFF356C" w14:textId="77777777" w:rsidR="006E5C07" w:rsidRPr="006E5C07" w:rsidRDefault="006E5C07" w:rsidP="006E5C07">
            <w:pPr>
              <w:spacing w:after="0" w:line="240" w:lineRule="auto"/>
              <w:jc w:val="right"/>
              <w:rPr>
                <w:rFonts w:ascii="Calibri" w:eastAsia="Times New Roman" w:hAnsi="Calibri" w:cs="Calibri"/>
              </w:rPr>
            </w:pPr>
          </w:p>
        </w:tc>
        <w:tc>
          <w:tcPr>
            <w:tcW w:w="2152" w:type="dxa"/>
            <w:tcMar>
              <w:top w:w="0" w:type="dxa"/>
              <w:left w:w="108" w:type="dxa"/>
              <w:bottom w:w="0" w:type="dxa"/>
              <w:right w:w="108" w:type="dxa"/>
            </w:tcMar>
            <w:hideMark/>
          </w:tcPr>
          <w:p w14:paraId="7CB16AE3"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69B99207" w14:textId="77777777" w:rsidTr="006E5C07">
        <w:tc>
          <w:tcPr>
            <w:tcW w:w="3365" w:type="dxa"/>
            <w:tcMar>
              <w:top w:w="0" w:type="dxa"/>
              <w:left w:w="108" w:type="dxa"/>
              <w:bottom w:w="0" w:type="dxa"/>
              <w:right w:w="108" w:type="dxa"/>
            </w:tcMar>
            <w:hideMark/>
          </w:tcPr>
          <w:p w14:paraId="7060C8D8"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Non-current assets:</w:t>
            </w:r>
          </w:p>
        </w:tc>
        <w:tc>
          <w:tcPr>
            <w:tcW w:w="492" w:type="dxa"/>
            <w:tcMar>
              <w:top w:w="0" w:type="dxa"/>
              <w:left w:w="108" w:type="dxa"/>
              <w:bottom w:w="0" w:type="dxa"/>
              <w:right w:w="108" w:type="dxa"/>
            </w:tcMar>
            <w:hideMark/>
          </w:tcPr>
          <w:p w14:paraId="4C06088B" w14:textId="77777777" w:rsidR="006E5C07" w:rsidRPr="006E5C07" w:rsidRDefault="006E5C07" w:rsidP="006E5C07">
            <w:pPr>
              <w:spacing w:after="0" w:line="240" w:lineRule="auto"/>
              <w:jc w:val="center"/>
              <w:rPr>
                <w:rFonts w:ascii="Calibri" w:eastAsia="Times New Roman" w:hAnsi="Calibri" w:cs="Calibri"/>
              </w:rPr>
            </w:pPr>
          </w:p>
        </w:tc>
        <w:tc>
          <w:tcPr>
            <w:tcW w:w="2153" w:type="dxa"/>
            <w:tcMar>
              <w:top w:w="0" w:type="dxa"/>
              <w:left w:w="108" w:type="dxa"/>
              <w:bottom w:w="0" w:type="dxa"/>
              <w:right w:w="108" w:type="dxa"/>
            </w:tcMar>
            <w:hideMark/>
          </w:tcPr>
          <w:p w14:paraId="1E82A2ED" w14:textId="77777777" w:rsidR="006E5C07" w:rsidRPr="006E5C07" w:rsidRDefault="006E5C07" w:rsidP="006E5C07">
            <w:pPr>
              <w:spacing w:after="0" w:line="240" w:lineRule="auto"/>
              <w:jc w:val="right"/>
              <w:rPr>
                <w:rFonts w:ascii="Calibri" w:eastAsia="Times New Roman" w:hAnsi="Calibri" w:cs="Calibri"/>
              </w:rPr>
            </w:pPr>
          </w:p>
        </w:tc>
        <w:tc>
          <w:tcPr>
            <w:tcW w:w="2152" w:type="dxa"/>
            <w:tcMar>
              <w:top w:w="0" w:type="dxa"/>
              <w:left w:w="108" w:type="dxa"/>
              <w:bottom w:w="0" w:type="dxa"/>
              <w:right w:w="108" w:type="dxa"/>
            </w:tcMar>
            <w:hideMark/>
          </w:tcPr>
          <w:p w14:paraId="14B11D31"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5A5A4748" w14:textId="77777777" w:rsidTr="006E5C07">
        <w:tc>
          <w:tcPr>
            <w:tcW w:w="3365" w:type="dxa"/>
            <w:tcMar>
              <w:top w:w="0" w:type="dxa"/>
              <w:left w:w="108" w:type="dxa"/>
              <w:bottom w:w="0" w:type="dxa"/>
              <w:right w:w="108" w:type="dxa"/>
            </w:tcMar>
            <w:hideMark/>
          </w:tcPr>
          <w:p w14:paraId="0F23FD59"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Goodwill</w:t>
            </w:r>
          </w:p>
        </w:tc>
        <w:tc>
          <w:tcPr>
            <w:tcW w:w="492" w:type="dxa"/>
            <w:tcMar>
              <w:top w:w="0" w:type="dxa"/>
              <w:left w:w="108" w:type="dxa"/>
              <w:bottom w:w="0" w:type="dxa"/>
              <w:right w:w="108" w:type="dxa"/>
            </w:tcMar>
            <w:hideMark/>
          </w:tcPr>
          <w:p w14:paraId="72BAFAE6"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14</w:t>
            </w:r>
          </w:p>
        </w:tc>
        <w:tc>
          <w:tcPr>
            <w:tcW w:w="2153" w:type="dxa"/>
            <w:tcMar>
              <w:top w:w="0" w:type="dxa"/>
              <w:left w:w="108" w:type="dxa"/>
              <w:bottom w:w="0" w:type="dxa"/>
              <w:right w:w="108" w:type="dxa"/>
            </w:tcMar>
            <w:hideMark/>
          </w:tcPr>
          <w:p w14:paraId="0A3832E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6,881</w:t>
            </w:r>
          </w:p>
        </w:tc>
        <w:tc>
          <w:tcPr>
            <w:tcW w:w="2152" w:type="dxa"/>
            <w:tcMar>
              <w:top w:w="0" w:type="dxa"/>
              <w:left w:w="108" w:type="dxa"/>
              <w:bottom w:w="0" w:type="dxa"/>
              <w:right w:w="108" w:type="dxa"/>
            </w:tcMar>
            <w:hideMark/>
          </w:tcPr>
          <w:p w14:paraId="2905B0B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7,981</w:t>
            </w:r>
          </w:p>
        </w:tc>
      </w:tr>
      <w:tr w:rsidR="006E5C07" w:rsidRPr="006E5C07" w14:paraId="0ACD9316" w14:textId="77777777" w:rsidTr="006E5C07">
        <w:tc>
          <w:tcPr>
            <w:tcW w:w="3365" w:type="dxa"/>
            <w:tcMar>
              <w:top w:w="0" w:type="dxa"/>
              <w:left w:w="108" w:type="dxa"/>
              <w:bottom w:w="0" w:type="dxa"/>
              <w:right w:w="108" w:type="dxa"/>
            </w:tcMar>
            <w:hideMark/>
          </w:tcPr>
          <w:p w14:paraId="546D8253"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Other intangible assets</w:t>
            </w:r>
          </w:p>
        </w:tc>
        <w:tc>
          <w:tcPr>
            <w:tcW w:w="492" w:type="dxa"/>
            <w:tcMar>
              <w:top w:w="0" w:type="dxa"/>
              <w:left w:w="108" w:type="dxa"/>
              <w:bottom w:w="0" w:type="dxa"/>
              <w:right w:w="108" w:type="dxa"/>
            </w:tcMar>
            <w:hideMark/>
          </w:tcPr>
          <w:p w14:paraId="082D9CF2"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15</w:t>
            </w:r>
          </w:p>
        </w:tc>
        <w:tc>
          <w:tcPr>
            <w:tcW w:w="2153" w:type="dxa"/>
            <w:tcMar>
              <w:top w:w="0" w:type="dxa"/>
              <w:left w:w="108" w:type="dxa"/>
              <w:bottom w:w="0" w:type="dxa"/>
              <w:right w:w="108" w:type="dxa"/>
            </w:tcMar>
            <w:hideMark/>
          </w:tcPr>
          <w:p w14:paraId="58EAADE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2152" w:type="dxa"/>
            <w:tcMar>
              <w:top w:w="0" w:type="dxa"/>
              <w:left w:w="108" w:type="dxa"/>
              <w:bottom w:w="0" w:type="dxa"/>
              <w:right w:w="108" w:type="dxa"/>
            </w:tcMar>
            <w:hideMark/>
          </w:tcPr>
          <w:p w14:paraId="3E1D72E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r>
      <w:tr w:rsidR="006E5C07" w:rsidRPr="006E5C07" w14:paraId="7D6CE7B5" w14:textId="77777777" w:rsidTr="006E5C07">
        <w:tc>
          <w:tcPr>
            <w:tcW w:w="3365" w:type="dxa"/>
            <w:tcMar>
              <w:top w:w="0" w:type="dxa"/>
              <w:left w:w="108" w:type="dxa"/>
              <w:bottom w:w="0" w:type="dxa"/>
              <w:right w:w="108" w:type="dxa"/>
            </w:tcMar>
            <w:hideMark/>
          </w:tcPr>
          <w:p w14:paraId="0B9068F2"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Property, plant &amp; equipment</w:t>
            </w:r>
          </w:p>
          <w:p w14:paraId="3E16B700"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Deferred tax asset</w:t>
            </w:r>
          </w:p>
        </w:tc>
        <w:tc>
          <w:tcPr>
            <w:tcW w:w="492" w:type="dxa"/>
            <w:tcMar>
              <w:top w:w="0" w:type="dxa"/>
              <w:left w:w="108" w:type="dxa"/>
              <w:bottom w:w="0" w:type="dxa"/>
              <w:right w:w="108" w:type="dxa"/>
            </w:tcMar>
            <w:hideMark/>
          </w:tcPr>
          <w:p w14:paraId="08773F7D"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16</w:t>
            </w:r>
          </w:p>
        </w:tc>
        <w:tc>
          <w:tcPr>
            <w:tcW w:w="2153" w:type="dxa"/>
            <w:tcMar>
              <w:top w:w="0" w:type="dxa"/>
              <w:left w:w="108" w:type="dxa"/>
              <w:bottom w:w="0" w:type="dxa"/>
              <w:right w:w="108" w:type="dxa"/>
            </w:tcMar>
            <w:hideMark/>
          </w:tcPr>
          <w:p w14:paraId="61CB52A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1,028</w:t>
            </w:r>
          </w:p>
          <w:p w14:paraId="502E01D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160</w:t>
            </w:r>
          </w:p>
        </w:tc>
        <w:tc>
          <w:tcPr>
            <w:tcW w:w="2152" w:type="dxa"/>
            <w:tcMar>
              <w:top w:w="0" w:type="dxa"/>
              <w:left w:w="108" w:type="dxa"/>
              <w:bottom w:w="0" w:type="dxa"/>
              <w:right w:w="108" w:type="dxa"/>
            </w:tcMar>
            <w:hideMark/>
          </w:tcPr>
          <w:p w14:paraId="1009920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894</w:t>
            </w:r>
          </w:p>
          <w:p w14:paraId="5A334F0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r>
      <w:tr w:rsidR="006E5C07" w:rsidRPr="006E5C07" w14:paraId="079B1546" w14:textId="77777777" w:rsidTr="006E5C07">
        <w:tc>
          <w:tcPr>
            <w:tcW w:w="3365" w:type="dxa"/>
            <w:tcMar>
              <w:top w:w="0" w:type="dxa"/>
              <w:left w:w="108" w:type="dxa"/>
              <w:bottom w:w="0" w:type="dxa"/>
              <w:right w:w="108" w:type="dxa"/>
            </w:tcMar>
            <w:hideMark/>
          </w:tcPr>
          <w:p w14:paraId="56021538" w14:textId="77777777" w:rsidR="006E5C07" w:rsidRPr="006E5C07" w:rsidRDefault="006E5C07" w:rsidP="006E5C07">
            <w:pPr>
              <w:spacing w:after="0" w:line="240" w:lineRule="auto"/>
              <w:rPr>
                <w:rFonts w:ascii="Calibri" w:eastAsia="Times New Roman" w:hAnsi="Calibri" w:cs="Calibri"/>
              </w:rPr>
            </w:pPr>
          </w:p>
        </w:tc>
        <w:tc>
          <w:tcPr>
            <w:tcW w:w="492" w:type="dxa"/>
            <w:tcMar>
              <w:top w:w="0" w:type="dxa"/>
              <w:left w:w="108" w:type="dxa"/>
              <w:bottom w:w="0" w:type="dxa"/>
              <w:right w:w="108" w:type="dxa"/>
            </w:tcMar>
            <w:hideMark/>
          </w:tcPr>
          <w:p w14:paraId="28F4F8F6" w14:textId="77777777" w:rsidR="006E5C07" w:rsidRPr="006E5C07" w:rsidRDefault="006E5C07" w:rsidP="006E5C07">
            <w:pPr>
              <w:spacing w:after="0" w:line="240" w:lineRule="auto"/>
              <w:jc w:val="center"/>
              <w:rPr>
                <w:rFonts w:ascii="Calibri" w:eastAsia="Times New Roman" w:hAnsi="Calibri" w:cs="Calibri"/>
              </w:rPr>
            </w:pPr>
          </w:p>
        </w:tc>
        <w:tc>
          <w:tcPr>
            <w:tcW w:w="2153" w:type="dxa"/>
            <w:tcBorders>
              <w:top w:val="single" w:sz="8" w:space="0" w:color="auto"/>
              <w:left w:val="nil"/>
              <w:bottom w:val="nil"/>
              <w:right w:val="nil"/>
            </w:tcBorders>
            <w:tcMar>
              <w:top w:w="0" w:type="dxa"/>
              <w:left w:w="108" w:type="dxa"/>
              <w:bottom w:w="0" w:type="dxa"/>
              <w:right w:w="108" w:type="dxa"/>
            </w:tcMar>
            <w:hideMark/>
          </w:tcPr>
          <w:p w14:paraId="58FFB342"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8,069</w:t>
            </w:r>
          </w:p>
        </w:tc>
        <w:tc>
          <w:tcPr>
            <w:tcW w:w="2152" w:type="dxa"/>
            <w:tcBorders>
              <w:top w:val="single" w:sz="8" w:space="0" w:color="auto"/>
              <w:left w:val="nil"/>
              <w:bottom w:val="nil"/>
              <w:right w:val="nil"/>
            </w:tcBorders>
            <w:tcMar>
              <w:top w:w="0" w:type="dxa"/>
              <w:left w:w="108" w:type="dxa"/>
              <w:bottom w:w="0" w:type="dxa"/>
              <w:right w:w="108" w:type="dxa"/>
            </w:tcMar>
            <w:hideMark/>
          </w:tcPr>
          <w:p w14:paraId="648CC62A"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8,875</w:t>
            </w:r>
          </w:p>
        </w:tc>
      </w:tr>
      <w:tr w:rsidR="006E5C07" w:rsidRPr="006E5C07" w14:paraId="5186936F" w14:textId="77777777" w:rsidTr="006E5C07">
        <w:tc>
          <w:tcPr>
            <w:tcW w:w="3365" w:type="dxa"/>
            <w:tcMar>
              <w:top w:w="0" w:type="dxa"/>
              <w:left w:w="108" w:type="dxa"/>
              <w:bottom w:w="0" w:type="dxa"/>
              <w:right w:w="108" w:type="dxa"/>
            </w:tcMar>
            <w:hideMark/>
          </w:tcPr>
          <w:p w14:paraId="638BD400"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Current assets:</w:t>
            </w:r>
          </w:p>
        </w:tc>
        <w:tc>
          <w:tcPr>
            <w:tcW w:w="492" w:type="dxa"/>
            <w:tcMar>
              <w:top w:w="0" w:type="dxa"/>
              <w:left w:w="108" w:type="dxa"/>
              <w:bottom w:w="0" w:type="dxa"/>
              <w:right w:w="108" w:type="dxa"/>
            </w:tcMar>
            <w:hideMark/>
          </w:tcPr>
          <w:p w14:paraId="0650FF56" w14:textId="77777777" w:rsidR="006E5C07" w:rsidRPr="006E5C07" w:rsidRDefault="006E5C07" w:rsidP="006E5C07">
            <w:pPr>
              <w:spacing w:after="0" w:line="240" w:lineRule="auto"/>
              <w:jc w:val="center"/>
              <w:rPr>
                <w:rFonts w:ascii="Calibri" w:eastAsia="Times New Roman" w:hAnsi="Calibri" w:cs="Calibri"/>
              </w:rPr>
            </w:pPr>
          </w:p>
        </w:tc>
        <w:tc>
          <w:tcPr>
            <w:tcW w:w="2153" w:type="dxa"/>
            <w:tcMar>
              <w:top w:w="0" w:type="dxa"/>
              <w:left w:w="108" w:type="dxa"/>
              <w:bottom w:w="0" w:type="dxa"/>
              <w:right w:w="108" w:type="dxa"/>
            </w:tcMar>
            <w:hideMark/>
          </w:tcPr>
          <w:p w14:paraId="6C6038F7" w14:textId="77777777" w:rsidR="006E5C07" w:rsidRPr="006E5C07" w:rsidRDefault="006E5C07" w:rsidP="006E5C07">
            <w:pPr>
              <w:spacing w:after="0" w:line="240" w:lineRule="auto"/>
              <w:jc w:val="right"/>
              <w:rPr>
                <w:rFonts w:ascii="Calibri" w:eastAsia="Times New Roman" w:hAnsi="Calibri" w:cs="Calibri"/>
              </w:rPr>
            </w:pPr>
          </w:p>
        </w:tc>
        <w:tc>
          <w:tcPr>
            <w:tcW w:w="2152" w:type="dxa"/>
            <w:tcMar>
              <w:top w:w="0" w:type="dxa"/>
              <w:left w:w="108" w:type="dxa"/>
              <w:bottom w:w="0" w:type="dxa"/>
              <w:right w:w="108" w:type="dxa"/>
            </w:tcMar>
            <w:hideMark/>
          </w:tcPr>
          <w:p w14:paraId="42765ACF"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5507F058" w14:textId="77777777" w:rsidTr="006E5C07">
        <w:tc>
          <w:tcPr>
            <w:tcW w:w="3365" w:type="dxa"/>
            <w:tcMar>
              <w:top w:w="0" w:type="dxa"/>
              <w:left w:w="108" w:type="dxa"/>
              <w:bottom w:w="0" w:type="dxa"/>
              <w:right w:w="108" w:type="dxa"/>
            </w:tcMar>
            <w:hideMark/>
          </w:tcPr>
          <w:p w14:paraId="32D2FA2B"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Trade &amp; other receivables</w:t>
            </w:r>
          </w:p>
        </w:tc>
        <w:tc>
          <w:tcPr>
            <w:tcW w:w="492" w:type="dxa"/>
            <w:tcMar>
              <w:top w:w="0" w:type="dxa"/>
              <w:left w:w="108" w:type="dxa"/>
              <w:bottom w:w="0" w:type="dxa"/>
              <w:right w:w="108" w:type="dxa"/>
            </w:tcMar>
            <w:hideMark/>
          </w:tcPr>
          <w:p w14:paraId="62D40C3A"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17</w:t>
            </w:r>
          </w:p>
        </w:tc>
        <w:tc>
          <w:tcPr>
            <w:tcW w:w="2153" w:type="dxa"/>
            <w:tcMar>
              <w:top w:w="0" w:type="dxa"/>
              <w:left w:w="108" w:type="dxa"/>
              <w:bottom w:w="0" w:type="dxa"/>
              <w:right w:w="108" w:type="dxa"/>
            </w:tcMar>
            <w:hideMark/>
          </w:tcPr>
          <w:p w14:paraId="7BE5E74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1,990</w:t>
            </w:r>
          </w:p>
        </w:tc>
        <w:tc>
          <w:tcPr>
            <w:tcW w:w="2152" w:type="dxa"/>
            <w:tcMar>
              <w:top w:w="0" w:type="dxa"/>
              <w:left w:w="108" w:type="dxa"/>
              <w:bottom w:w="0" w:type="dxa"/>
              <w:right w:w="108" w:type="dxa"/>
            </w:tcMar>
            <w:hideMark/>
          </w:tcPr>
          <w:p w14:paraId="3DE6A9A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3,428</w:t>
            </w:r>
          </w:p>
        </w:tc>
      </w:tr>
      <w:tr w:rsidR="006E5C07" w:rsidRPr="006E5C07" w14:paraId="7B42A91D" w14:textId="77777777" w:rsidTr="006E5C07">
        <w:tc>
          <w:tcPr>
            <w:tcW w:w="3365" w:type="dxa"/>
            <w:tcMar>
              <w:top w:w="0" w:type="dxa"/>
              <w:left w:w="108" w:type="dxa"/>
              <w:bottom w:w="0" w:type="dxa"/>
              <w:right w:w="108" w:type="dxa"/>
            </w:tcMar>
            <w:hideMark/>
          </w:tcPr>
          <w:p w14:paraId="2C9C3709"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Current tax receivable</w:t>
            </w:r>
          </w:p>
        </w:tc>
        <w:tc>
          <w:tcPr>
            <w:tcW w:w="492" w:type="dxa"/>
            <w:tcMar>
              <w:top w:w="0" w:type="dxa"/>
              <w:left w:w="108" w:type="dxa"/>
              <w:bottom w:w="0" w:type="dxa"/>
              <w:right w:w="108" w:type="dxa"/>
            </w:tcMar>
            <w:hideMark/>
          </w:tcPr>
          <w:p w14:paraId="7FF830A7" w14:textId="77777777" w:rsidR="006E5C07" w:rsidRPr="006E5C07" w:rsidRDefault="006E5C07" w:rsidP="006E5C07">
            <w:pPr>
              <w:spacing w:after="0" w:line="240" w:lineRule="auto"/>
              <w:jc w:val="center"/>
              <w:rPr>
                <w:rFonts w:ascii="Calibri" w:eastAsia="Times New Roman" w:hAnsi="Calibri" w:cs="Calibri"/>
              </w:rPr>
            </w:pPr>
          </w:p>
        </w:tc>
        <w:tc>
          <w:tcPr>
            <w:tcW w:w="2153" w:type="dxa"/>
            <w:tcMar>
              <w:top w:w="0" w:type="dxa"/>
              <w:left w:w="108" w:type="dxa"/>
              <w:bottom w:w="0" w:type="dxa"/>
              <w:right w:w="108" w:type="dxa"/>
            </w:tcMar>
            <w:hideMark/>
          </w:tcPr>
          <w:p w14:paraId="6F6F757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176</w:t>
            </w:r>
          </w:p>
        </w:tc>
        <w:tc>
          <w:tcPr>
            <w:tcW w:w="2152" w:type="dxa"/>
            <w:tcMar>
              <w:top w:w="0" w:type="dxa"/>
              <w:left w:w="108" w:type="dxa"/>
              <w:bottom w:w="0" w:type="dxa"/>
              <w:right w:w="108" w:type="dxa"/>
            </w:tcMar>
            <w:hideMark/>
          </w:tcPr>
          <w:p w14:paraId="21F97D2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r>
      <w:tr w:rsidR="006E5C07" w:rsidRPr="006E5C07" w14:paraId="4718CC8C" w14:textId="77777777" w:rsidTr="006E5C07">
        <w:tc>
          <w:tcPr>
            <w:tcW w:w="3365" w:type="dxa"/>
            <w:tcMar>
              <w:top w:w="0" w:type="dxa"/>
              <w:left w:w="108" w:type="dxa"/>
              <w:bottom w:w="0" w:type="dxa"/>
              <w:right w:w="108" w:type="dxa"/>
            </w:tcMar>
            <w:hideMark/>
          </w:tcPr>
          <w:p w14:paraId="475EB1F9"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Deferred tax asset</w:t>
            </w:r>
          </w:p>
        </w:tc>
        <w:tc>
          <w:tcPr>
            <w:tcW w:w="492" w:type="dxa"/>
            <w:tcMar>
              <w:top w:w="0" w:type="dxa"/>
              <w:left w:w="108" w:type="dxa"/>
              <w:bottom w:w="0" w:type="dxa"/>
              <w:right w:w="108" w:type="dxa"/>
            </w:tcMar>
            <w:hideMark/>
          </w:tcPr>
          <w:p w14:paraId="16DE81CA"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18</w:t>
            </w:r>
          </w:p>
        </w:tc>
        <w:tc>
          <w:tcPr>
            <w:tcW w:w="2153" w:type="dxa"/>
            <w:tcMar>
              <w:top w:w="0" w:type="dxa"/>
              <w:left w:w="108" w:type="dxa"/>
              <w:bottom w:w="0" w:type="dxa"/>
              <w:right w:w="108" w:type="dxa"/>
            </w:tcMar>
            <w:hideMark/>
          </w:tcPr>
          <w:p w14:paraId="7125DE2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47</w:t>
            </w:r>
          </w:p>
        </w:tc>
        <w:tc>
          <w:tcPr>
            <w:tcW w:w="2152" w:type="dxa"/>
            <w:tcMar>
              <w:top w:w="0" w:type="dxa"/>
              <w:left w:w="108" w:type="dxa"/>
              <w:bottom w:w="0" w:type="dxa"/>
              <w:right w:w="108" w:type="dxa"/>
            </w:tcMar>
            <w:hideMark/>
          </w:tcPr>
          <w:p w14:paraId="54C93C3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w:t>
            </w:r>
          </w:p>
        </w:tc>
      </w:tr>
      <w:tr w:rsidR="006E5C07" w:rsidRPr="006E5C07" w14:paraId="4D3BD9D3" w14:textId="77777777" w:rsidTr="006E5C07">
        <w:tc>
          <w:tcPr>
            <w:tcW w:w="3365" w:type="dxa"/>
            <w:tcMar>
              <w:top w:w="0" w:type="dxa"/>
              <w:left w:w="108" w:type="dxa"/>
              <w:bottom w:w="0" w:type="dxa"/>
              <w:right w:w="108" w:type="dxa"/>
            </w:tcMar>
            <w:hideMark/>
          </w:tcPr>
          <w:p w14:paraId="1D6BEF47"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Cash &amp; cash equivalents</w:t>
            </w:r>
          </w:p>
        </w:tc>
        <w:tc>
          <w:tcPr>
            <w:tcW w:w="492" w:type="dxa"/>
            <w:tcMar>
              <w:top w:w="0" w:type="dxa"/>
              <w:left w:w="108" w:type="dxa"/>
              <w:bottom w:w="0" w:type="dxa"/>
              <w:right w:w="108" w:type="dxa"/>
            </w:tcMar>
            <w:hideMark/>
          </w:tcPr>
          <w:p w14:paraId="50C73728"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19</w:t>
            </w:r>
          </w:p>
        </w:tc>
        <w:tc>
          <w:tcPr>
            <w:tcW w:w="2153" w:type="dxa"/>
            <w:tcBorders>
              <w:top w:val="nil"/>
              <w:left w:val="nil"/>
              <w:bottom w:val="single" w:sz="8" w:space="0" w:color="auto"/>
              <w:right w:val="nil"/>
            </w:tcBorders>
            <w:tcMar>
              <w:top w:w="0" w:type="dxa"/>
              <w:left w:w="108" w:type="dxa"/>
              <w:bottom w:w="0" w:type="dxa"/>
              <w:right w:w="108" w:type="dxa"/>
            </w:tcMar>
            <w:hideMark/>
          </w:tcPr>
          <w:p w14:paraId="059BD48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839</w:t>
            </w:r>
          </w:p>
        </w:tc>
        <w:tc>
          <w:tcPr>
            <w:tcW w:w="2152" w:type="dxa"/>
            <w:tcBorders>
              <w:top w:val="nil"/>
              <w:left w:val="nil"/>
              <w:bottom w:val="single" w:sz="8" w:space="0" w:color="auto"/>
              <w:right w:val="nil"/>
            </w:tcBorders>
            <w:tcMar>
              <w:top w:w="0" w:type="dxa"/>
              <w:left w:w="108" w:type="dxa"/>
              <w:bottom w:w="0" w:type="dxa"/>
              <w:right w:w="108" w:type="dxa"/>
            </w:tcMar>
            <w:hideMark/>
          </w:tcPr>
          <w:p w14:paraId="4633D33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1,227</w:t>
            </w:r>
          </w:p>
        </w:tc>
      </w:tr>
      <w:tr w:rsidR="006E5C07" w:rsidRPr="006E5C07" w14:paraId="325DF70C" w14:textId="77777777" w:rsidTr="006E5C07">
        <w:tc>
          <w:tcPr>
            <w:tcW w:w="3365" w:type="dxa"/>
            <w:tcMar>
              <w:top w:w="0" w:type="dxa"/>
              <w:left w:w="108" w:type="dxa"/>
              <w:bottom w:w="0" w:type="dxa"/>
              <w:right w:w="108" w:type="dxa"/>
            </w:tcMar>
            <w:hideMark/>
          </w:tcPr>
          <w:p w14:paraId="0C204780" w14:textId="77777777" w:rsidR="006E5C07" w:rsidRPr="006E5C07" w:rsidRDefault="006E5C07" w:rsidP="006E5C07">
            <w:pPr>
              <w:spacing w:after="0" w:line="240" w:lineRule="auto"/>
              <w:rPr>
                <w:rFonts w:ascii="Calibri" w:eastAsia="Times New Roman" w:hAnsi="Calibri" w:cs="Calibri"/>
              </w:rPr>
            </w:pPr>
          </w:p>
        </w:tc>
        <w:tc>
          <w:tcPr>
            <w:tcW w:w="492" w:type="dxa"/>
            <w:tcMar>
              <w:top w:w="0" w:type="dxa"/>
              <w:left w:w="108" w:type="dxa"/>
              <w:bottom w:w="0" w:type="dxa"/>
              <w:right w:w="108" w:type="dxa"/>
            </w:tcMar>
            <w:hideMark/>
          </w:tcPr>
          <w:p w14:paraId="4D63B6CA" w14:textId="77777777" w:rsidR="006E5C07" w:rsidRPr="006E5C07" w:rsidRDefault="006E5C07" w:rsidP="006E5C07">
            <w:pPr>
              <w:spacing w:after="0" w:line="240" w:lineRule="auto"/>
              <w:jc w:val="center"/>
              <w:rPr>
                <w:rFonts w:ascii="Calibri" w:eastAsia="Times New Roman" w:hAnsi="Calibri" w:cs="Calibri"/>
              </w:rPr>
            </w:pPr>
          </w:p>
        </w:tc>
        <w:tc>
          <w:tcPr>
            <w:tcW w:w="2153" w:type="dxa"/>
            <w:tcBorders>
              <w:top w:val="nil"/>
              <w:left w:val="nil"/>
              <w:bottom w:val="nil"/>
              <w:right w:val="nil"/>
            </w:tcBorders>
            <w:tcMar>
              <w:top w:w="0" w:type="dxa"/>
              <w:left w:w="108" w:type="dxa"/>
              <w:bottom w:w="0" w:type="dxa"/>
              <w:right w:w="108" w:type="dxa"/>
            </w:tcMar>
            <w:hideMark/>
          </w:tcPr>
          <w:p w14:paraId="0568538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3,052</w:t>
            </w:r>
          </w:p>
        </w:tc>
        <w:tc>
          <w:tcPr>
            <w:tcW w:w="2152" w:type="dxa"/>
            <w:tcBorders>
              <w:top w:val="nil"/>
              <w:left w:val="nil"/>
              <w:bottom w:val="nil"/>
              <w:right w:val="nil"/>
            </w:tcBorders>
            <w:tcMar>
              <w:top w:w="0" w:type="dxa"/>
              <w:left w:w="108" w:type="dxa"/>
              <w:bottom w:w="0" w:type="dxa"/>
              <w:right w:w="108" w:type="dxa"/>
            </w:tcMar>
            <w:hideMark/>
          </w:tcPr>
          <w:p w14:paraId="0E5A1ED8"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4,658</w:t>
            </w:r>
          </w:p>
        </w:tc>
      </w:tr>
      <w:tr w:rsidR="006E5C07" w:rsidRPr="006E5C07" w14:paraId="1421152B" w14:textId="77777777" w:rsidTr="006E5C07">
        <w:tc>
          <w:tcPr>
            <w:tcW w:w="3365" w:type="dxa"/>
            <w:tcMar>
              <w:top w:w="0" w:type="dxa"/>
              <w:left w:w="108" w:type="dxa"/>
              <w:bottom w:w="0" w:type="dxa"/>
              <w:right w:w="108" w:type="dxa"/>
            </w:tcMar>
            <w:hideMark/>
          </w:tcPr>
          <w:p w14:paraId="59DB5223" w14:textId="77777777" w:rsidR="006E5C07" w:rsidRPr="006E5C07" w:rsidRDefault="006E5C07" w:rsidP="006E5C07">
            <w:pPr>
              <w:spacing w:after="0" w:line="240" w:lineRule="auto"/>
              <w:rPr>
                <w:rFonts w:ascii="Calibri" w:eastAsia="Times New Roman" w:hAnsi="Calibri" w:cs="Calibri"/>
                <w:b/>
                <w:bCs/>
              </w:rPr>
            </w:pPr>
          </w:p>
        </w:tc>
        <w:tc>
          <w:tcPr>
            <w:tcW w:w="492" w:type="dxa"/>
            <w:tcMar>
              <w:top w:w="0" w:type="dxa"/>
              <w:left w:w="108" w:type="dxa"/>
              <w:bottom w:w="0" w:type="dxa"/>
              <w:right w:w="108" w:type="dxa"/>
            </w:tcMar>
            <w:hideMark/>
          </w:tcPr>
          <w:p w14:paraId="4DEAED31" w14:textId="77777777" w:rsidR="006E5C07" w:rsidRPr="006E5C07" w:rsidRDefault="006E5C07" w:rsidP="006E5C07">
            <w:pPr>
              <w:spacing w:after="0" w:line="240" w:lineRule="auto"/>
              <w:jc w:val="center"/>
              <w:rPr>
                <w:rFonts w:ascii="Calibri" w:eastAsia="Times New Roman" w:hAnsi="Calibri" w:cs="Calibri"/>
              </w:rPr>
            </w:pPr>
          </w:p>
        </w:tc>
        <w:tc>
          <w:tcPr>
            <w:tcW w:w="2153" w:type="dxa"/>
            <w:tcBorders>
              <w:top w:val="nil"/>
              <w:left w:val="nil"/>
              <w:bottom w:val="single" w:sz="8" w:space="0" w:color="auto"/>
              <w:right w:val="nil"/>
            </w:tcBorders>
            <w:tcMar>
              <w:top w:w="0" w:type="dxa"/>
              <w:left w:w="108" w:type="dxa"/>
              <w:bottom w:w="0" w:type="dxa"/>
              <w:right w:w="108" w:type="dxa"/>
            </w:tcMar>
            <w:hideMark/>
          </w:tcPr>
          <w:p w14:paraId="489A60E5" w14:textId="77777777" w:rsidR="006E5C07" w:rsidRPr="006E5C07" w:rsidRDefault="006E5C07" w:rsidP="006E5C07">
            <w:pPr>
              <w:spacing w:after="0" w:line="240" w:lineRule="auto"/>
              <w:jc w:val="right"/>
              <w:rPr>
                <w:rFonts w:ascii="Calibri" w:eastAsia="Times New Roman" w:hAnsi="Calibri" w:cs="Calibri"/>
                <w:b/>
                <w:bCs/>
              </w:rPr>
            </w:pPr>
          </w:p>
        </w:tc>
        <w:tc>
          <w:tcPr>
            <w:tcW w:w="2152" w:type="dxa"/>
            <w:tcBorders>
              <w:top w:val="nil"/>
              <w:left w:val="nil"/>
              <w:bottom w:val="single" w:sz="8" w:space="0" w:color="auto"/>
              <w:right w:val="nil"/>
            </w:tcBorders>
            <w:tcMar>
              <w:top w:w="0" w:type="dxa"/>
              <w:left w:w="108" w:type="dxa"/>
              <w:bottom w:w="0" w:type="dxa"/>
              <w:right w:w="108" w:type="dxa"/>
            </w:tcMar>
            <w:hideMark/>
          </w:tcPr>
          <w:p w14:paraId="658400D7"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16D08706" w14:textId="77777777" w:rsidTr="006E5C07">
        <w:tc>
          <w:tcPr>
            <w:tcW w:w="3365" w:type="dxa"/>
            <w:tcMar>
              <w:top w:w="0" w:type="dxa"/>
              <w:left w:w="108" w:type="dxa"/>
              <w:bottom w:w="0" w:type="dxa"/>
              <w:right w:w="108" w:type="dxa"/>
            </w:tcMar>
            <w:hideMark/>
          </w:tcPr>
          <w:p w14:paraId="5435DD06"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Total assets</w:t>
            </w:r>
          </w:p>
        </w:tc>
        <w:tc>
          <w:tcPr>
            <w:tcW w:w="492" w:type="dxa"/>
            <w:tcMar>
              <w:top w:w="0" w:type="dxa"/>
              <w:left w:w="108" w:type="dxa"/>
              <w:bottom w:w="0" w:type="dxa"/>
              <w:right w:w="108" w:type="dxa"/>
            </w:tcMar>
            <w:hideMark/>
          </w:tcPr>
          <w:p w14:paraId="316D172E" w14:textId="77777777" w:rsidR="006E5C07" w:rsidRPr="006E5C07" w:rsidRDefault="006E5C07" w:rsidP="006E5C07">
            <w:pPr>
              <w:spacing w:after="0" w:line="240" w:lineRule="auto"/>
              <w:jc w:val="center"/>
              <w:rPr>
                <w:rFonts w:ascii="Calibri" w:eastAsia="Times New Roman" w:hAnsi="Calibri" w:cs="Calibri"/>
              </w:rPr>
            </w:pPr>
          </w:p>
        </w:tc>
        <w:tc>
          <w:tcPr>
            <w:tcW w:w="2153" w:type="dxa"/>
            <w:tcBorders>
              <w:top w:val="nil"/>
              <w:left w:val="nil"/>
              <w:bottom w:val="single" w:sz="8" w:space="0" w:color="auto"/>
              <w:right w:val="nil"/>
            </w:tcBorders>
            <w:tcMar>
              <w:top w:w="0" w:type="dxa"/>
              <w:left w:w="108" w:type="dxa"/>
              <w:bottom w:w="0" w:type="dxa"/>
              <w:right w:w="108" w:type="dxa"/>
            </w:tcMar>
            <w:hideMark/>
          </w:tcPr>
          <w:p w14:paraId="411F1E0C"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11,121</w:t>
            </w:r>
          </w:p>
        </w:tc>
        <w:tc>
          <w:tcPr>
            <w:tcW w:w="2152" w:type="dxa"/>
            <w:tcBorders>
              <w:top w:val="nil"/>
              <w:left w:val="nil"/>
              <w:bottom w:val="single" w:sz="8" w:space="0" w:color="auto"/>
              <w:right w:val="nil"/>
            </w:tcBorders>
            <w:tcMar>
              <w:top w:w="0" w:type="dxa"/>
              <w:left w:w="108" w:type="dxa"/>
              <w:bottom w:w="0" w:type="dxa"/>
              <w:right w:w="108" w:type="dxa"/>
            </w:tcMar>
            <w:hideMark/>
          </w:tcPr>
          <w:p w14:paraId="61D08022"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13,533</w:t>
            </w:r>
          </w:p>
        </w:tc>
      </w:tr>
      <w:tr w:rsidR="006E5C07" w:rsidRPr="006E5C07" w14:paraId="3D8C505C" w14:textId="77777777" w:rsidTr="006E5C07">
        <w:tc>
          <w:tcPr>
            <w:tcW w:w="3365" w:type="dxa"/>
            <w:tcMar>
              <w:top w:w="0" w:type="dxa"/>
              <w:left w:w="108" w:type="dxa"/>
              <w:bottom w:w="0" w:type="dxa"/>
              <w:right w:w="108" w:type="dxa"/>
            </w:tcMar>
            <w:hideMark/>
          </w:tcPr>
          <w:p w14:paraId="58D8AF85" w14:textId="77777777" w:rsidR="006E5C07" w:rsidRPr="006E5C07" w:rsidRDefault="006E5C07" w:rsidP="006E5C07">
            <w:pPr>
              <w:spacing w:after="0" w:line="240" w:lineRule="auto"/>
              <w:rPr>
                <w:rFonts w:ascii="Calibri" w:eastAsia="Times New Roman" w:hAnsi="Calibri" w:cs="Calibri"/>
              </w:rPr>
            </w:pPr>
          </w:p>
        </w:tc>
        <w:tc>
          <w:tcPr>
            <w:tcW w:w="492" w:type="dxa"/>
            <w:tcMar>
              <w:top w:w="0" w:type="dxa"/>
              <w:left w:w="108" w:type="dxa"/>
              <w:bottom w:w="0" w:type="dxa"/>
              <w:right w:w="108" w:type="dxa"/>
            </w:tcMar>
            <w:hideMark/>
          </w:tcPr>
          <w:p w14:paraId="0BD25FF4" w14:textId="77777777" w:rsidR="006E5C07" w:rsidRPr="006E5C07" w:rsidRDefault="006E5C07" w:rsidP="006E5C07">
            <w:pPr>
              <w:spacing w:after="0" w:line="240" w:lineRule="auto"/>
              <w:jc w:val="center"/>
              <w:rPr>
                <w:rFonts w:ascii="Calibri" w:eastAsia="Times New Roman" w:hAnsi="Calibri" w:cs="Calibri"/>
              </w:rPr>
            </w:pPr>
          </w:p>
        </w:tc>
        <w:tc>
          <w:tcPr>
            <w:tcW w:w="2153" w:type="dxa"/>
            <w:tcBorders>
              <w:top w:val="nil"/>
              <w:left w:val="nil"/>
              <w:bottom w:val="nil"/>
              <w:right w:val="nil"/>
            </w:tcBorders>
            <w:tcMar>
              <w:top w:w="0" w:type="dxa"/>
              <w:left w:w="108" w:type="dxa"/>
              <w:bottom w:w="0" w:type="dxa"/>
              <w:right w:w="108" w:type="dxa"/>
            </w:tcMar>
            <w:hideMark/>
          </w:tcPr>
          <w:p w14:paraId="20B7D6EE" w14:textId="77777777" w:rsidR="006E5C07" w:rsidRPr="006E5C07" w:rsidRDefault="006E5C07" w:rsidP="006E5C07">
            <w:pPr>
              <w:spacing w:after="0" w:line="240" w:lineRule="auto"/>
              <w:jc w:val="right"/>
              <w:rPr>
                <w:rFonts w:ascii="Calibri" w:eastAsia="Times New Roman" w:hAnsi="Calibri" w:cs="Calibri"/>
              </w:rPr>
            </w:pPr>
          </w:p>
        </w:tc>
        <w:tc>
          <w:tcPr>
            <w:tcW w:w="2152" w:type="dxa"/>
            <w:tcBorders>
              <w:top w:val="nil"/>
              <w:left w:val="nil"/>
              <w:bottom w:val="nil"/>
              <w:right w:val="nil"/>
            </w:tcBorders>
            <w:tcMar>
              <w:top w:w="0" w:type="dxa"/>
              <w:left w:w="108" w:type="dxa"/>
              <w:bottom w:w="0" w:type="dxa"/>
              <w:right w:w="108" w:type="dxa"/>
            </w:tcMar>
            <w:hideMark/>
          </w:tcPr>
          <w:p w14:paraId="47BD2048"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7A61571A" w14:textId="77777777" w:rsidTr="006E5C07">
        <w:tc>
          <w:tcPr>
            <w:tcW w:w="3365" w:type="dxa"/>
            <w:tcMar>
              <w:top w:w="0" w:type="dxa"/>
              <w:left w:w="108" w:type="dxa"/>
              <w:bottom w:w="0" w:type="dxa"/>
              <w:right w:w="108" w:type="dxa"/>
            </w:tcMar>
            <w:hideMark/>
          </w:tcPr>
          <w:p w14:paraId="4AF3A9F8"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Liabilities</w:t>
            </w:r>
          </w:p>
        </w:tc>
        <w:tc>
          <w:tcPr>
            <w:tcW w:w="492" w:type="dxa"/>
            <w:tcMar>
              <w:top w:w="0" w:type="dxa"/>
              <w:left w:w="108" w:type="dxa"/>
              <w:bottom w:w="0" w:type="dxa"/>
              <w:right w:w="108" w:type="dxa"/>
            </w:tcMar>
            <w:hideMark/>
          </w:tcPr>
          <w:p w14:paraId="00CC730D" w14:textId="77777777" w:rsidR="006E5C07" w:rsidRPr="006E5C07" w:rsidRDefault="006E5C07" w:rsidP="006E5C07">
            <w:pPr>
              <w:spacing w:after="0" w:line="240" w:lineRule="auto"/>
              <w:jc w:val="center"/>
              <w:rPr>
                <w:rFonts w:ascii="Calibri" w:eastAsia="Times New Roman" w:hAnsi="Calibri" w:cs="Calibri"/>
              </w:rPr>
            </w:pPr>
          </w:p>
        </w:tc>
        <w:tc>
          <w:tcPr>
            <w:tcW w:w="2153" w:type="dxa"/>
            <w:tcMar>
              <w:top w:w="0" w:type="dxa"/>
              <w:left w:w="108" w:type="dxa"/>
              <w:bottom w:w="0" w:type="dxa"/>
              <w:right w:w="108" w:type="dxa"/>
            </w:tcMar>
            <w:hideMark/>
          </w:tcPr>
          <w:p w14:paraId="3E66790A" w14:textId="77777777" w:rsidR="006E5C07" w:rsidRPr="006E5C07" w:rsidRDefault="006E5C07" w:rsidP="006E5C07">
            <w:pPr>
              <w:spacing w:after="0" w:line="240" w:lineRule="auto"/>
              <w:jc w:val="right"/>
              <w:rPr>
                <w:rFonts w:ascii="Calibri" w:eastAsia="Times New Roman" w:hAnsi="Calibri" w:cs="Calibri"/>
              </w:rPr>
            </w:pPr>
          </w:p>
        </w:tc>
        <w:tc>
          <w:tcPr>
            <w:tcW w:w="2152" w:type="dxa"/>
            <w:tcMar>
              <w:top w:w="0" w:type="dxa"/>
              <w:left w:w="108" w:type="dxa"/>
              <w:bottom w:w="0" w:type="dxa"/>
              <w:right w:w="108" w:type="dxa"/>
            </w:tcMar>
            <w:hideMark/>
          </w:tcPr>
          <w:p w14:paraId="7C3E3AC3"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74A0E653" w14:textId="77777777" w:rsidTr="006E5C07">
        <w:tc>
          <w:tcPr>
            <w:tcW w:w="3365" w:type="dxa"/>
            <w:tcMar>
              <w:top w:w="0" w:type="dxa"/>
              <w:left w:w="108" w:type="dxa"/>
              <w:bottom w:w="0" w:type="dxa"/>
              <w:right w:w="108" w:type="dxa"/>
            </w:tcMar>
            <w:hideMark/>
          </w:tcPr>
          <w:p w14:paraId="035781DA"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Current liabilities:</w:t>
            </w:r>
          </w:p>
        </w:tc>
        <w:tc>
          <w:tcPr>
            <w:tcW w:w="492" w:type="dxa"/>
            <w:tcMar>
              <w:top w:w="0" w:type="dxa"/>
              <w:left w:w="108" w:type="dxa"/>
              <w:bottom w:w="0" w:type="dxa"/>
              <w:right w:w="108" w:type="dxa"/>
            </w:tcMar>
            <w:hideMark/>
          </w:tcPr>
          <w:p w14:paraId="4F1D2FFB" w14:textId="77777777" w:rsidR="006E5C07" w:rsidRPr="006E5C07" w:rsidRDefault="006E5C07" w:rsidP="006E5C07">
            <w:pPr>
              <w:spacing w:after="0" w:line="240" w:lineRule="auto"/>
              <w:jc w:val="center"/>
              <w:rPr>
                <w:rFonts w:ascii="Calibri" w:eastAsia="Times New Roman" w:hAnsi="Calibri" w:cs="Calibri"/>
              </w:rPr>
            </w:pPr>
          </w:p>
        </w:tc>
        <w:tc>
          <w:tcPr>
            <w:tcW w:w="2153" w:type="dxa"/>
            <w:tcMar>
              <w:top w:w="0" w:type="dxa"/>
              <w:left w:w="108" w:type="dxa"/>
              <w:bottom w:w="0" w:type="dxa"/>
              <w:right w:w="108" w:type="dxa"/>
            </w:tcMar>
            <w:hideMark/>
          </w:tcPr>
          <w:p w14:paraId="2DC69B55" w14:textId="77777777" w:rsidR="006E5C07" w:rsidRPr="006E5C07" w:rsidRDefault="006E5C07" w:rsidP="006E5C07">
            <w:pPr>
              <w:spacing w:after="0" w:line="240" w:lineRule="auto"/>
              <w:jc w:val="right"/>
              <w:rPr>
                <w:rFonts w:ascii="Calibri" w:eastAsia="Times New Roman" w:hAnsi="Calibri" w:cs="Calibri"/>
              </w:rPr>
            </w:pPr>
          </w:p>
        </w:tc>
        <w:tc>
          <w:tcPr>
            <w:tcW w:w="2152" w:type="dxa"/>
            <w:tcMar>
              <w:top w:w="0" w:type="dxa"/>
              <w:left w:w="108" w:type="dxa"/>
              <w:bottom w:w="0" w:type="dxa"/>
              <w:right w:w="108" w:type="dxa"/>
            </w:tcMar>
            <w:hideMark/>
          </w:tcPr>
          <w:p w14:paraId="3741DBFA"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63FA652B" w14:textId="77777777" w:rsidTr="006E5C07">
        <w:tc>
          <w:tcPr>
            <w:tcW w:w="3365" w:type="dxa"/>
            <w:tcMar>
              <w:top w:w="0" w:type="dxa"/>
              <w:left w:w="108" w:type="dxa"/>
              <w:bottom w:w="0" w:type="dxa"/>
              <w:right w:w="108" w:type="dxa"/>
            </w:tcMar>
            <w:hideMark/>
          </w:tcPr>
          <w:p w14:paraId="5BB0FC8E"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Trade &amp; other payables</w:t>
            </w:r>
          </w:p>
          <w:p w14:paraId="2FD5BDE9"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Borrowings repayable within one year</w:t>
            </w:r>
          </w:p>
        </w:tc>
        <w:tc>
          <w:tcPr>
            <w:tcW w:w="492" w:type="dxa"/>
            <w:tcMar>
              <w:top w:w="0" w:type="dxa"/>
              <w:left w:w="108" w:type="dxa"/>
              <w:bottom w:w="0" w:type="dxa"/>
              <w:right w:w="108" w:type="dxa"/>
            </w:tcMar>
            <w:hideMark/>
          </w:tcPr>
          <w:p w14:paraId="35E363D2"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20</w:t>
            </w:r>
          </w:p>
          <w:p w14:paraId="6F793066"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21</w:t>
            </w:r>
          </w:p>
        </w:tc>
        <w:tc>
          <w:tcPr>
            <w:tcW w:w="2153" w:type="dxa"/>
            <w:tcMar>
              <w:top w:w="0" w:type="dxa"/>
              <w:left w:w="108" w:type="dxa"/>
              <w:bottom w:w="0" w:type="dxa"/>
              <w:right w:w="108" w:type="dxa"/>
            </w:tcMar>
            <w:hideMark/>
          </w:tcPr>
          <w:p w14:paraId="1742B35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4,222</w:t>
            </w:r>
          </w:p>
          <w:p w14:paraId="74E6D4D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972</w:t>
            </w:r>
          </w:p>
        </w:tc>
        <w:tc>
          <w:tcPr>
            <w:tcW w:w="2152" w:type="dxa"/>
            <w:tcMar>
              <w:top w:w="0" w:type="dxa"/>
              <w:left w:w="108" w:type="dxa"/>
              <w:bottom w:w="0" w:type="dxa"/>
              <w:right w:w="108" w:type="dxa"/>
            </w:tcMar>
            <w:hideMark/>
          </w:tcPr>
          <w:p w14:paraId="56810E5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4,231</w:t>
            </w:r>
          </w:p>
          <w:p w14:paraId="300FAA0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r>
      <w:tr w:rsidR="006E5C07" w:rsidRPr="006E5C07" w14:paraId="265D60CE" w14:textId="77777777" w:rsidTr="006E5C07">
        <w:tc>
          <w:tcPr>
            <w:tcW w:w="3365" w:type="dxa"/>
            <w:tcMar>
              <w:top w:w="0" w:type="dxa"/>
              <w:left w:w="108" w:type="dxa"/>
              <w:bottom w:w="0" w:type="dxa"/>
              <w:right w:w="108" w:type="dxa"/>
            </w:tcMar>
            <w:hideMark/>
          </w:tcPr>
          <w:p w14:paraId="18081D48"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Current tax payable</w:t>
            </w:r>
          </w:p>
        </w:tc>
        <w:tc>
          <w:tcPr>
            <w:tcW w:w="492" w:type="dxa"/>
            <w:tcMar>
              <w:top w:w="0" w:type="dxa"/>
              <w:left w:w="108" w:type="dxa"/>
              <w:bottom w:w="0" w:type="dxa"/>
              <w:right w:w="108" w:type="dxa"/>
            </w:tcMar>
            <w:hideMark/>
          </w:tcPr>
          <w:p w14:paraId="0A5813E6"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20</w:t>
            </w:r>
          </w:p>
        </w:tc>
        <w:tc>
          <w:tcPr>
            <w:tcW w:w="2153" w:type="dxa"/>
            <w:tcMar>
              <w:top w:w="0" w:type="dxa"/>
              <w:left w:w="108" w:type="dxa"/>
              <w:bottom w:w="0" w:type="dxa"/>
              <w:right w:w="108" w:type="dxa"/>
            </w:tcMar>
            <w:hideMark/>
          </w:tcPr>
          <w:p w14:paraId="70000FA1" w14:textId="77777777" w:rsidR="006E5C07" w:rsidRPr="006E5C07" w:rsidRDefault="006E5C07" w:rsidP="006E5C07">
            <w:pPr>
              <w:spacing w:after="0" w:line="240" w:lineRule="auto"/>
              <w:jc w:val="right"/>
              <w:rPr>
                <w:rFonts w:ascii="Calibri" w:eastAsia="Times New Roman" w:hAnsi="Calibri" w:cs="Calibri"/>
                <w:strike/>
              </w:rPr>
            </w:pPr>
            <w:r w:rsidRPr="006E5C07">
              <w:rPr>
                <w:rFonts w:ascii="Gill Sans MT" w:eastAsia="Times New Roman" w:hAnsi="Gill Sans MT" w:cs="Calibri"/>
                <w:strike/>
                <w:sz w:val="18"/>
                <w:szCs w:val="18"/>
              </w:rPr>
              <w:t>-</w:t>
            </w:r>
          </w:p>
        </w:tc>
        <w:tc>
          <w:tcPr>
            <w:tcW w:w="2152" w:type="dxa"/>
            <w:tcMar>
              <w:top w:w="0" w:type="dxa"/>
              <w:left w:w="108" w:type="dxa"/>
              <w:bottom w:w="0" w:type="dxa"/>
              <w:right w:w="108" w:type="dxa"/>
            </w:tcMar>
            <w:hideMark/>
          </w:tcPr>
          <w:p w14:paraId="4D6492B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82</w:t>
            </w:r>
          </w:p>
        </w:tc>
      </w:tr>
      <w:tr w:rsidR="006E5C07" w:rsidRPr="006E5C07" w14:paraId="0A590857" w14:textId="77777777" w:rsidTr="006E5C07">
        <w:tc>
          <w:tcPr>
            <w:tcW w:w="3365" w:type="dxa"/>
            <w:tcMar>
              <w:top w:w="0" w:type="dxa"/>
              <w:left w:w="108" w:type="dxa"/>
              <w:bottom w:w="0" w:type="dxa"/>
              <w:right w:w="108" w:type="dxa"/>
            </w:tcMar>
            <w:hideMark/>
          </w:tcPr>
          <w:p w14:paraId="67578F02" w14:textId="77777777" w:rsidR="006E5C07" w:rsidRPr="006E5C07" w:rsidRDefault="006E5C07" w:rsidP="006E5C07">
            <w:pPr>
              <w:spacing w:after="0" w:line="240" w:lineRule="auto"/>
              <w:rPr>
                <w:rFonts w:ascii="Calibri" w:eastAsia="Times New Roman" w:hAnsi="Calibri" w:cs="Calibri"/>
              </w:rPr>
            </w:pPr>
          </w:p>
        </w:tc>
        <w:tc>
          <w:tcPr>
            <w:tcW w:w="492" w:type="dxa"/>
            <w:tcMar>
              <w:top w:w="0" w:type="dxa"/>
              <w:left w:w="108" w:type="dxa"/>
              <w:bottom w:w="0" w:type="dxa"/>
              <w:right w:w="108" w:type="dxa"/>
            </w:tcMar>
            <w:hideMark/>
          </w:tcPr>
          <w:p w14:paraId="25162734" w14:textId="77777777" w:rsidR="006E5C07" w:rsidRPr="006E5C07" w:rsidRDefault="006E5C07" w:rsidP="006E5C07">
            <w:pPr>
              <w:spacing w:after="0" w:line="240" w:lineRule="auto"/>
              <w:jc w:val="center"/>
              <w:rPr>
                <w:rFonts w:ascii="Calibri" w:eastAsia="Times New Roman" w:hAnsi="Calibri" w:cs="Calibri"/>
              </w:rPr>
            </w:pPr>
          </w:p>
        </w:tc>
        <w:tc>
          <w:tcPr>
            <w:tcW w:w="2153" w:type="dxa"/>
            <w:tcBorders>
              <w:top w:val="single" w:sz="8" w:space="0" w:color="auto"/>
              <w:left w:val="nil"/>
              <w:bottom w:val="nil"/>
              <w:right w:val="nil"/>
            </w:tcBorders>
            <w:tcMar>
              <w:top w:w="0" w:type="dxa"/>
              <w:left w:w="108" w:type="dxa"/>
              <w:bottom w:w="0" w:type="dxa"/>
              <w:right w:w="108" w:type="dxa"/>
            </w:tcMar>
            <w:hideMark/>
          </w:tcPr>
          <w:p w14:paraId="5DEAC9CF"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5,194</w:t>
            </w:r>
          </w:p>
        </w:tc>
        <w:tc>
          <w:tcPr>
            <w:tcW w:w="2152" w:type="dxa"/>
            <w:tcBorders>
              <w:top w:val="single" w:sz="8" w:space="0" w:color="auto"/>
              <w:left w:val="nil"/>
              <w:bottom w:val="nil"/>
              <w:right w:val="nil"/>
            </w:tcBorders>
            <w:tcMar>
              <w:top w:w="0" w:type="dxa"/>
              <w:left w:w="108" w:type="dxa"/>
              <w:bottom w:w="0" w:type="dxa"/>
              <w:right w:w="108" w:type="dxa"/>
            </w:tcMar>
            <w:hideMark/>
          </w:tcPr>
          <w:p w14:paraId="134CF4D3"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4,313</w:t>
            </w:r>
          </w:p>
        </w:tc>
      </w:tr>
      <w:tr w:rsidR="006E5C07" w:rsidRPr="006E5C07" w14:paraId="2AF78FD2" w14:textId="77777777" w:rsidTr="006E5C07">
        <w:tc>
          <w:tcPr>
            <w:tcW w:w="3365" w:type="dxa"/>
            <w:tcMar>
              <w:top w:w="0" w:type="dxa"/>
              <w:left w:w="108" w:type="dxa"/>
              <w:bottom w:w="0" w:type="dxa"/>
              <w:right w:w="108" w:type="dxa"/>
            </w:tcMar>
            <w:hideMark/>
          </w:tcPr>
          <w:p w14:paraId="14A1A23D"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Non-current liabilities:</w:t>
            </w:r>
          </w:p>
        </w:tc>
        <w:tc>
          <w:tcPr>
            <w:tcW w:w="492" w:type="dxa"/>
            <w:tcMar>
              <w:top w:w="0" w:type="dxa"/>
              <w:left w:w="108" w:type="dxa"/>
              <w:bottom w:w="0" w:type="dxa"/>
              <w:right w:w="108" w:type="dxa"/>
            </w:tcMar>
            <w:hideMark/>
          </w:tcPr>
          <w:p w14:paraId="17D9AD38" w14:textId="77777777" w:rsidR="006E5C07" w:rsidRPr="006E5C07" w:rsidRDefault="006E5C07" w:rsidP="006E5C07">
            <w:pPr>
              <w:spacing w:after="0" w:line="240" w:lineRule="auto"/>
              <w:jc w:val="center"/>
              <w:rPr>
                <w:rFonts w:ascii="Calibri" w:eastAsia="Times New Roman" w:hAnsi="Calibri" w:cs="Calibri"/>
              </w:rPr>
            </w:pPr>
          </w:p>
        </w:tc>
        <w:tc>
          <w:tcPr>
            <w:tcW w:w="2153" w:type="dxa"/>
            <w:tcMar>
              <w:top w:w="0" w:type="dxa"/>
              <w:left w:w="108" w:type="dxa"/>
              <w:bottom w:w="0" w:type="dxa"/>
              <w:right w:w="108" w:type="dxa"/>
            </w:tcMar>
            <w:hideMark/>
          </w:tcPr>
          <w:p w14:paraId="14D6F385" w14:textId="77777777" w:rsidR="006E5C07" w:rsidRPr="006E5C07" w:rsidRDefault="006E5C07" w:rsidP="006E5C07">
            <w:pPr>
              <w:spacing w:after="0" w:line="240" w:lineRule="auto"/>
              <w:jc w:val="right"/>
              <w:rPr>
                <w:rFonts w:ascii="Calibri" w:eastAsia="Times New Roman" w:hAnsi="Calibri" w:cs="Calibri"/>
              </w:rPr>
            </w:pPr>
          </w:p>
        </w:tc>
        <w:tc>
          <w:tcPr>
            <w:tcW w:w="2152" w:type="dxa"/>
            <w:tcMar>
              <w:top w:w="0" w:type="dxa"/>
              <w:left w:w="108" w:type="dxa"/>
              <w:bottom w:w="0" w:type="dxa"/>
              <w:right w:w="108" w:type="dxa"/>
            </w:tcMar>
            <w:hideMark/>
          </w:tcPr>
          <w:p w14:paraId="1548F54F"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6B5D77C1" w14:textId="77777777" w:rsidTr="006E5C07">
        <w:tc>
          <w:tcPr>
            <w:tcW w:w="3365" w:type="dxa"/>
            <w:tcMar>
              <w:top w:w="0" w:type="dxa"/>
              <w:left w:w="108" w:type="dxa"/>
              <w:bottom w:w="0" w:type="dxa"/>
              <w:right w:w="108" w:type="dxa"/>
            </w:tcMar>
            <w:hideMark/>
          </w:tcPr>
          <w:p w14:paraId="76554700"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Lease liabilities</w:t>
            </w:r>
          </w:p>
        </w:tc>
        <w:tc>
          <w:tcPr>
            <w:tcW w:w="492" w:type="dxa"/>
            <w:tcMar>
              <w:top w:w="0" w:type="dxa"/>
              <w:left w:w="108" w:type="dxa"/>
              <w:bottom w:w="0" w:type="dxa"/>
              <w:right w:w="108" w:type="dxa"/>
            </w:tcMar>
            <w:hideMark/>
          </w:tcPr>
          <w:p w14:paraId="4091B16D"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22</w:t>
            </w:r>
          </w:p>
        </w:tc>
        <w:tc>
          <w:tcPr>
            <w:tcW w:w="2153" w:type="dxa"/>
            <w:tcMar>
              <w:top w:w="0" w:type="dxa"/>
              <w:left w:w="108" w:type="dxa"/>
              <w:bottom w:w="0" w:type="dxa"/>
              <w:right w:w="108" w:type="dxa"/>
            </w:tcMar>
            <w:hideMark/>
          </w:tcPr>
          <w:p w14:paraId="3050882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464</w:t>
            </w:r>
          </w:p>
        </w:tc>
        <w:tc>
          <w:tcPr>
            <w:tcW w:w="2152" w:type="dxa"/>
            <w:tcMar>
              <w:top w:w="0" w:type="dxa"/>
              <w:left w:w="108" w:type="dxa"/>
              <w:bottom w:w="0" w:type="dxa"/>
              <w:right w:w="108" w:type="dxa"/>
            </w:tcMar>
            <w:hideMark/>
          </w:tcPr>
          <w:p w14:paraId="1C83123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160</w:t>
            </w:r>
          </w:p>
        </w:tc>
      </w:tr>
      <w:tr w:rsidR="006E5C07" w:rsidRPr="006E5C07" w14:paraId="7AC4BC7C" w14:textId="77777777" w:rsidTr="006E5C07">
        <w:tc>
          <w:tcPr>
            <w:tcW w:w="3365" w:type="dxa"/>
            <w:tcMar>
              <w:top w:w="0" w:type="dxa"/>
              <w:left w:w="108" w:type="dxa"/>
              <w:bottom w:w="0" w:type="dxa"/>
              <w:right w:w="108" w:type="dxa"/>
            </w:tcMar>
            <w:hideMark/>
          </w:tcPr>
          <w:p w14:paraId="7BC8096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Other borrowings</w:t>
            </w:r>
          </w:p>
        </w:tc>
        <w:tc>
          <w:tcPr>
            <w:tcW w:w="492" w:type="dxa"/>
            <w:tcMar>
              <w:top w:w="0" w:type="dxa"/>
              <w:left w:w="108" w:type="dxa"/>
              <w:bottom w:w="0" w:type="dxa"/>
              <w:right w:w="108" w:type="dxa"/>
            </w:tcMar>
            <w:hideMark/>
          </w:tcPr>
          <w:p w14:paraId="441E33B3"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21</w:t>
            </w:r>
          </w:p>
        </w:tc>
        <w:tc>
          <w:tcPr>
            <w:tcW w:w="2153" w:type="dxa"/>
            <w:tcMar>
              <w:top w:w="0" w:type="dxa"/>
              <w:left w:w="108" w:type="dxa"/>
              <w:bottom w:w="0" w:type="dxa"/>
              <w:right w:w="108" w:type="dxa"/>
            </w:tcMar>
            <w:hideMark/>
          </w:tcPr>
          <w:p w14:paraId="55B22E2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778</w:t>
            </w:r>
          </w:p>
        </w:tc>
        <w:tc>
          <w:tcPr>
            <w:tcW w:w="2152" w:type="dxa"/>
            <w:tcMar>
              <w:top w:w="0" w:type="dxa"/>
              <w:left w:w="108" w:type="dxa"/>
              <w:bottom w:w="0" w:type="dxa"/>
              <w:right w:w="108" w:type="dxa"/>
            </w:tcMar>
            <w:hideMark/>
          </w:tcPr>
          <w:p w14:paraId="2FA2272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750</w:t>
            </w:r>
          </w:p>
        </w:tc>
      </w:tr>
      <w:tr w:rsidR="006E5C07" w:rsidRPr="006E5C07" w14:paraId="13E89A77" w14:textId="77777777" w:rsidTr="006E5C07">
        <w:tc>
          <w:tcPr>
            <w:tcW w:w="3365" w:type="dxa"/>
            <w:tcMar>
              <w:top w:w="0" w:type="dxa"/>
              <w:left w:w="108" w:type="dxa"/>
              <w:bottom w:w="0" w:type="dxa"/>
              <w:right w:w="108" w:type="dxa"/>
            </w:tcMar>
            <w:hideMark/>
          </w:tcPr>
          <w:p w14:paraId="687FDF86" w14:textId="77777777" w:rsidR="006E5C07" w:rsidRPr="006E5C07" w:rsidRDefault="006E5C07" w:rsidP="006E5C07">
            <w:pPr>
              <w:spacing w:after="0" w:line="240" w:lineRule="auto"/>
              <w:rPr>
                <w:rFonts w:ascii="Calibri" w:eastAsia="Times New Roman" w:hAnsi="Calibri" w:cs="Calibri"/>
              </w:rPr>
            </w:pPr>
          </w:p>
        </w:tc>
        <w:tc>
          <w:tcPr>
            <w:tcW w:w="492" w:type="dxa"/>
            <w:tcMar>
              <w:top w:w="0" w:type="dxa"/>
              <w:left w:w="108" w:type="dxa"/>
              <w:bottom w:w="0" w:type="dxa"/>
              <w:right w:w="108" w:type="dxa"/>
            </w:tcMar>
            <w:hideMark/>
          </w:tcPr>
          <w:p w14:paraId="0CAF08E6" w14:textId="77777777" w:rsidR="006E5C07" w:rsidRPr="006E5C07" w:rsidRDefault="006E5C07" w:rsidP="006E5C07">
            <w:pPr>
              <w:spacing w:after="0" w:line="240" w:lineRule="auto"/>
              <w:jc w:val="center"/>
              <w:rPr>
                <w:rFonts w:ascii="Calibri" w:eastAsia="Times New Roman" w:hAnsi="Calibri" w:cs="Calibri"/>
              </w:rPr>
            </w:pPr>
          </w:p>
        </w:tc>
        <w:tc>
          <w:tcPr>
            <w:tcW w:w="2153" w:type="dxa"/>
            <w:tcBorders>
              <w:top w:val="single" w:sz="8" w:space="0" w:color="auto"/>
              <w:left w:val="nil"/>
              <w:bottom w:val="nil"/>
              <w:right w:val="nil"/>
            </w:tcBorders>
            <w:tcMar>
              <w:top w:w="0" w:type="dxa"/>
              <w:left w:w="108" w:type="dxa"/>
              <w:bottom w:w="0" w:type="dxa"/>
              <w:right w:w="108" w:type="dxa"/>
            </w:tcMar>
            <w:hideMark/>
          </w:tcPr>
          <w:p w14:paraId="31F524A4"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1,242</w:t>
            </w:r>
          </w:p>
        </w:tc>
        <w:tc>
          <w:tcPr>
            <w:tcW w:w="2152" w:type="dxa"/>
            <w:tcBorders>
              <w:top w:val="single" w:sz="8" w:space="0" w:color="auto"/>
              <w:left w:val="nil"/>
              <w:bottom w:val="nil"/>
              <w:right w:val="nil"/>
            </w:tcBorders>
            <w:tcMar>
              <w:top w:w="0" w:type="dxa"/>
              <w:left w:w="108" w:type="dxa"/>
              <w:bottom w:w="0" w:type="dxa"/>
              <w:right w:w="108" w:type="dxa"/>
            </w:tcMar>
            <w:hideMark/>
          </w:tcPr>
          <w:p w14:paraId="248B6D30"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910</w:t>
            </w:r>
          </w:p>
        </w:tc>
      </w:tr>
      <w:tr w:rsidR="006E5C07" w:rsidRPr="006E5C07" w14:paraId="474DF1FE" w14:textId="77777777" w:rsidTr="006E5C07">
        <w:tc>
          <w:tcPr>
            <w:tcW w:w="3365" w:type="dxa"/>
            <w:tcMar>
              <w:top w:w="0" w:type="dxa"/>
              <w:left w:w="108" w:type="dxa"/>
              <w:bottom w:w="0" w:type="dxa"/>
              <w:right w:w="108" w:type="dxa"/>
            </w:tcMar>
            <w:hideMark/>
          </w:tcPr>
          <w:p w14:paraId="5D7A7A68" w14:textId="77777777" w:rsidR="006E5C07" w:rsidRPr="006E5C07" w:rsidRDefault="006E5C07" w:rsidP="006E5C07">
            <w:pPr>
              <w:spacing w:after="0" w:line="240" w:lineRule="auto"/>
              <w:rPr>
                <w:rFonts w:ascii="Calibri" w:eastAsia="Times New Roman" w:hAnsi="Calibri" w:cs="Calibri"/>
              </w:rPr>
            </w:pPr>
          </w:p>
        </w:tc>
        <w:tc>
          <w:tcPr>
            <w:tcW w:w="492" w:type="dxa"/>
            <w:tcMar>
              <w:top w:w="0" w:type="dxa"/>
              <w:left w:w="108" w:type="dxa"/>
              <w:bottom w:w="0" w:type="dxa"/>
              <w:right w:w="108" w:type="dxa"/>
            </w:tcMar>
            <w:hideMark/>
          </w:tcPr>
          <w:p w14:paraId="3EB6C3F2" w14:textId="77777777" w:rsidR="006E5C07" w:rsidRPr="006E5C07" w:rsidRDefault="006E5C07" w:rsidP="006E5C07">
            <w:pPr>
              <w:spacing w:after="0" w:line="240" w:lineRule="auto"/>
              <w:jc w:val="center"/>
              <w:rPr>
                <w:rFonts w:ascii="Calibri" w:eastAsia="Times New Roman" w:hAnsi="Calibri" w:cs="Calibri"/>
              </w:rPr>
            </w:pPr>
          </w:p>
        </w:tc>
        <w:tc>
          <w:tcPr>
            <w:tcW w:w="2153" w:type="dxa"/>
            <w:tcBorders>
              <w:top w:val="nil"/>
              <w:left w:val="nil"/>
              <w:bottom w:val="single" w:sz="8" w:space="0" w:color="auto"/>
              <w:right w:val="nil"/>
            </w:tcBorders>
            <w:tcMar>
              <w:top w:w="0" w:type="dxa"/>
              <w:left w:w="108" w:type="dxa"/>
              <w:bottom w:w="0" w:type="dxa"/>
              <w:right w:w="108" w:type="dxa"/>
            </w:tcMar>
            <w:hideMark/>
          </w:tcPr>
          <w:p w14:paraId="0487DE6E" w14:textId="77777777" w:rsidR="006E5C07" w:rsidRPr="006E5C07" w:rsidRDefault="006E5C07" w:rsidP="006E5C07">
            <w:pPr>
              <w:spacing w:after="0" w:line="240" w:lineRule="auto"/>
              <w:jc w:val="right"/>
              <w:rPr>
                <w:rFonts w:ascii="Calibri" w:eastAsia="Times New Roman" w:hAnsi="Calibri" w:cs="Calibri"/>
              </w:rPr>
            </w:pPr>
          </w:p>
        </w:tc>
        <w:tc>
          <w:tcPr>
            <w:tcW w:w="2152" w:type="dxa"/>
            <w:tcBorders>
              <w:top w:val="nil"/>
              <w:left w:val="nil"/>
              <w:bottom w:val="single" w:sz="8" w:space="0" w:color="auto"/>
              <w:right w:val="nil"/>
            </w:tcBorders>
            <w:tcMar>
              <w:top w:w="0" w:type="dxa"/>
              <w:left w:w="108" w:type="dxa"/>
              <w:bottom w:w="0" w:type="dxa"/>
              <w:right w:w="108" w:type="dxa"/>
            </w:tcMar>
            <w:hideMark/>
          </w:tcPr>
          <w:p w14:paraId="6B6CC852"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1D805C86" w14:textId="77777777" w:rsidTr="006E5C07">
        <w:tc>
          <w:tcPr>
            <w:tcW w:w="3365" w:type="dxa"/>
            <w:tcMar>
              <w:top w:w="0" w:type="dxa"/>
              <w:left w:w="108" w:type="dxa"/>
              <w:bottom w:w="0" w:type="dxa"/>
              <w:right w:w="108" w:type="dxa"/>
            </w:tcMar>
            <w:hideMark/>
          </w:tcPr>
          <w:p w14:paraId="14496F06"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Total liabilities</w:t>
            </w:r>
          </w:p>
        </w:tc>
        <w:tc>
          <w:tcPr>
            <w:tcW w:w="492" w:type="dxa"/>
            <w:tcMar>
              <w:top w:w="0" w:type="dxa"/>
              <w:left w:w="108" w:type="dxa"/>
              <w:bottom w:w="0" w:type="dxa"/>
              <w:right w:w="108" w:type="dxa"/>
            </w:tcMar>
            <w:hideMark/>
          </w:tcPr>
          <w:p w14:paraId="6034F32C" w14:textId="77777777" w:rsidR="006E5C07" w:rsidRPr="006E5C07" w:rsidRDefault="006E5C07" w:rsidP="006E5C07">
            <w:pPr>
              <w:spacing w:after="0" w:line="240" w:lineRule="auto"/>
              <w:jc w:val="center"/>
              <w:rPr>
                <w:rFonts w:ascii="Calibri" w:eastAsia="Times New Roman" w:hAnsi="Calibri" w:cs="Calibri"/>
              </w:rPr>
            </w:pPr>
          </w:p>
        </w:tc>
        <w:tc>
          <w:tcPr>
            <w:tcW w:w="2153" w:type="dxa"/>
            <w:tcBorders>
              <w:top w:val="nil"/>
              <w:left w:val="nil"/>
              <w:bottom w:val="single" w:sz="8" w:space="0" w:color="auto"/>
              <w:right w:val="nil"/>
            </w:tcBorders>
            <w:tcMar>
              <w:top w:w="0" w:type="dxa"/>
              <w:left w:w="108" w:type="dxa"/>
              <w:bottom w:w="0" w:type="dxa"/>
              <w:right w:w="108" w:type="dxa"/>
            </w:tcMar>
            <w:hideMark/>
          </w:tcPr>
          <w:p w14:paraId="6A61CF73"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6,436</w:t>
            </w:r>
          </w:p>
        </w:tc>
        <w:tc>
          <w:tcPr>
            <w:tcW w:w="2152" w:type="dxa"/>
            <w:tcBorders>
              <w:top w:val="nil"/>
              <w:left w:val="nil"/>
              <w:bottom w:val="single" w:sz="8" w:space="0" w:color="auto"/>
              <w:right w:val="nil"/>
            </w:tcBorders>
            <w:tcMar>
              <w:top w:w="0" w:type="dxa"/>
              <w:left w:w="108" w:type="dxa"/>
              <w:bottom w:w="0" w:type="dxa"/>
              <w:right w:w="108" w:type="dxa"/>
            </w:tcMar>
            <w:hideMark/>
          </w:tcPr>
          <w:p w14:paraId="45606145"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5,223</w:t>
            </w:r>
          </w:p>
        </w:tc>
      </w:tr>
      <w:tr w:rsidR="006E5C07" w:rsidRPr="006E5C07" w14:paraId="55642011" w14:textId="77777777" w:rsidTr="006E5C07">
        <w:tc>
          <w:tcPr>
            <w:tcW w:w="3365" w:type="dxa"/>
            <w:tcMar>
              <w:top w:w="0" w:type="dxa"/>
              <w:left w:w="108" w:type="dxa"/>
              <w:bottom w:w="0" w:type="dxa"/>
              <w:right w:w="108" w:type="dxa"/>
            </w:tcMar>
            <w:hideMark/>
          </w:tcPr>
          <w:p w14:paraId="606A4CF4"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 </w:t>
            </w:r>
          </w:p>
          <w:p w14:paraId="69172965"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 </w:t>
            </w:r>
          </w:p>
        </w:tc>
        <w:tc>
          <w:tcPr>
            <w:tcW w:w="492" w:type="dxa"/>
            <w:tcMar>
              <w:top w:w="0" w:type="dxa"/>
              <w:left w:w="108" w:type="dxa"/>
              <w:bottom w:w="0" w:type="dxa"/>
              <w:right w:w="108" w:type="dxa"/>
            </w:tcMar>
            <w:hideMark/>
          </w:tcPr>
          <w:p w14:paraId="389BF217" w14:textId="77777777" w:rsidR="006E5C07" w:rsidRPr="006E5C07" w:rsidRDefault="006E5C07" w:rsidP="006E5C07">
            <w:pPr>
              <w:spacing w:after="0" w:line="240" w:lineRule="auto"/>
              <w:jc w:val="center"/>
              <w:rPr>
                <w:rFonts w:ascii="Calibri" w:eastAsia="Times New Roman" w:hAnsi="Calibri" w:cs="Calibri"/>
              </w:rPr>
            </w:pPr>
          </w:p>
        </w:tc>
        <w:tc>
          <w:tcPr>
            <w:tcW w:w="2153" w:type="dxa"/>
            <w:tcBorders>
              <w:top w:val="nil"/>
              <w:left w:val="nil"/>
              <w:bottom w:val="single" w:sz="8" w:space="0" w:color="auto"/>
              <w:right w:val="nil"/>
            </w:tcBorders>
            <w:tcMar>
              <w:top w:w="0" w:type="dxa"/>
              <w:left w:w="108" w:type="dxa"/>
              <w:bottom w:w="0" w:type="dxa"/>
              <w:right w:w="108" w:type="dxa"/>
            </w:tcMar>
            <w:hideMark/>
          </w:tcPr>
          <w:p w14:paraId="51A3337F" w14:textId="77777777" w:rsidR="006E5C07" w:rsidRPr="006E5C07" w:rsidRDefault="006E5C07" w:rsidP="006E5C07">
            <w:pPr>
              <w:spacing w:after="0" w:line="240" w:lineRule="auto"/>
              <w:jc w:val="right"/>
              <w:rPr>
                <w:rFonts w:ascii="Calibri" w:eastAsia="Times New Roman" w:hAnsi="Calibri" w:cs="Calibri"/>
              </w:rPr>
            </w:pPr>
          </w:p>
        </w:tc>
        <w:tc>
          <w:tcPr>
            <w:tcW w:w="2152" w:type="dxa"/>
            <w:tcBorders>
              <w:top w:val="nil"/>
              <w:left w:val="nil"/>
              <w:bottom w:val="single" w:sz="8" w:space="0" w:color="auto"/>
              <w:right w:val="nil"/>
            </w:tcBorders>
            <w:tcMar>
              <w:top w:w="0" w:type="dxa"/>
              <w:left w:w="108" w:type="dxa"/>
              <w:bottom w:w="0" w:type="dxa"/>
              <w:right w:w="108" w:type="dxa"/>
            </w:tcMar>
            <w:hideMark/>
          </w:tcPr>
          <w:p w14:paraId="7CFB727D"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7D7993A4" w14:textId="77777777" w:rsidTr="006E5C07">
        <w:tc>
          <w:tcPr>
            <w:tcW w:w="3365" w:type="dxa"/>
            <w:tcMar>
              <w:top w:w="0" w:type="dxa"/>
              <w:left w:w="108" w:type="dxa"/>
              <w:bottom w:w="0" w:type="dxa"/>
              <w:right w:w="108" w:type="dxa"/>
            </w:tcMar>
            <w:hideMark/>
          </w:tcPr>
          <w:p w14:paraId="7D2F1359"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Net assets</w:t>
            </w:r>
          </w:p>
        </w:tc>
        <w:tc>
          <w:tcPr>
            <w:tcW w:w="492" w:type="dxa"/>
            <w:tcMar>
              <w:top w:w="0" w:type="dxa"/>
              <w:left w:w="108" w:type="dxa"/>
              <w:bottom w:w="0" w:type="dxa"/>
              <w:right w:w="108" w:type="dxa"/>
            </w:tcMar>
            <w:hideMark/>
          </w:tcPr>
          <w:p w14:paraId="1206421C" w14:textId="77777777" w:rsidR="006E5C07" w:rsidRPr="006E5C07" w:rsidRDefault="006E5C07" w:rsidP="006E5C07">
            <w:pPr>
              <w:spacing w:after="0" w:line="240" w:lineRule="auto"/>
              <w:jc w:val="center"/>
              <w:rPr>
                <w:rFonts w:ascii="Calibri" w:eastAsia="Times New Roman" w:hAnsi="Calibri" w:cs="Calibri"/>
              </w:rPr>
            </w:pPr>
          </w:p>
        </w:tc>
        <w:tc>
          <w:tcPr>
            <w:tcW w:w="2153" w:type="dxa"/>
            <w:tcBorders>
              <w:top w:val="nil"/>
              <w:left w:val="nil"/>
              <w:bottom w:val="single" w:sz="12" w:space="0" w:color="auto"/>
              <w:right w:val="nil"/>
            </w:tcBorders>
            <w:tcMar>
              <w:top w:w="0" w:type="dxa"/>
              <w:left w:w="108" w:type="dxa"/>
              <w:bottom w:w="0" w:type="dxa"/>
              <w:right w:w="108" w:type="dxa"/>
            </w:tcMar>
            <w:hideMark/>
          </w:tcPr>
          <w:p w14:paraId="1522DA8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4,685</w:t>
            </w:r>
          </w:p>
        </w:tc>
        <w:tc>
          <w:tcPr>
            <w:tcW w:w="2152" w:type="dxa"/>
            <w:tcBorders>
              <w:top w:val="nil"/>
              <w:left w:val="nil"/>
              <w:bottom w:val="single" w:sz="12" w:space="0" w:color="auto"/>
              <w:right w:val="nil"/>
            </w:tcBorders>
            <w:tcMar>
              <w:top w:w="0" w:type="dxa"/>
              <w:left w:w="108" w:type="dxa"/>
              <w:bottom w:w="0" w:type="dxa"/>
              <w:right w:w="108" w:type="dxa"/>
            </w:tcMar>
            <w:hideMark/>
          </w:tcPr>
          <w:p w14:paraId="75273DC5"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8,310</w:t>
            </w:r>
          </w:p>
        </w:tc>
      </w:tr>
      <w:tr w:rsidR="006E5C07" w:rsidRPr="006E5C07" w14:paraId="5B93F8D3" w14:textId="77777777" w:rsidTr="006E5C07">
        <w:tc>
          <w:tcPr>
            <w:tcW w:w="3365" w:type="dxa"/>
            <w:tcMar>
              <w:top w:w="0" w:type="dxa"/>
              <w:left w:w="108" w:type="dxa"/>
              <w:bottom w:w="0" w:type="dxa"/>
              <w:right w:w="108" w:type="dxa"/>
            </w:tcMar>
            <w:hideMark/>
          </w:tcPr>
          <w:p w14:paraId="3C21FC21" w14:textId="77777777" w:rsidR="006E5C07" w:rsidRPr="006E5C07" w:rsidRDefault="006E5C07" w:rsidP="006E5C07">
            <w:pPr>
              <w:spacing w:after="0" w:line="240" w:lineRule="auto"/>
              <w:rPr>
                <w:rFonts w:ascii="Calibri" w:eastAsia="Times New Roman" w:hAnsi="Calibri" w:cs="Calibri"/>
                <w:b/>
                <w:bCs/>
              </w:rPr>
            </w:pPr>
          </w:p>
        </w:tc>
        <w:tc>
          <w:tcPr>
            <w:tcW w:w="492" w:type="dxa"/>
            <w:tcMar>
              <w:top w:w="0" w:type="dxa"/>
              <w:left w:w="108" w:type="dxa"/>
              <w:bottom w:w="0" w:type="dxa"/>
              <w:right w:w="108" w:type="dxa"/>
            </w:tcMar>
            <w:hideMark/>
          </w:tcPr>
          <w:p w14:paraId="7ED25A12" w14:textId="77777777" w:rsidR="006E5C07" w:rsidRPr="006E5C07" w:rsidRDefault="006E5C07" w:rsidP="006E5C07">
            <w:pPr>
              <w:spacing w:after="0" w:line="240" w:lineRule="auto"/>
              <w:jc w:val="center"/>
              <w:rPr>
                <w:rFonts w:ascii="Calibri" w:eastAsia="Times New Roman" w:hAnsi="Calibri" w:cs="Calibri"/>
              </w:rPr>
            </w:pPr>
          </w:p>
        </w:tc>
        <w:tc>
          <w:tcPr>
            <w:tcW w:w="2153" w:type="dxa"/>
            <w:tcBorders>
              <w:top w:val="nil"/>
              <w:left w:val="nil"/>
              <w:bottom w:val="nil"/>
              <w:right w:val="nil"/>
            </w:tcBorders>
            <w:tcMar>
              <w:top w:w="0" w:type="dxa"/>
              <w:left w:w="108" w:type="dxa"/>
              <w:bottom w:w="0" w:type="dxa"/>
              <w:right w:w="108" w:type="dxa"/>
            </w:tcMar>
            <w:hideMark/>
          </w:tcPr>
          <w:p w14:paraId="66D66DCE" w14:textId="77777777" w:rsidR="006E5C07" w:rsidRPr="006E5C07" w:rsidRDefault="006E5C07" w:rsidP="006E5C07">
            <w:pPr>
              <w:spacing w:after="0" w:line="240" w:lineRule="auto"/>
              <w:jc w:val="right"/>
              <w:rPr>
                <w:rFonts w:ascii="Calibri" w:eastAsia="Times New Roman" w:hAnsi="Calibri" w:cs="Calibri"/>
              </w:rPr>
            </w:pPr>
          </w:p>
        </w:tc>
        <w:tc>
          <w:tcPr>
            <w:tcW w:w="2152" w:type="dxa"/>
            <w:tcBorders>
              <w:top w:val="nil"/>
              <w:left w:val="nil"/>
              <w:bottom w:val="nil"/>
              <w:right w:val="nil"/>
            </w:tcBorders>
            <w:tcMar>
              <w:top w:w="0" w:type="dxa"/>
              <w:left w:w="108" w:type="dxa"/>
              <w:bottom w:w="0" w:type="dxa"/>
              <w:right w:w="108" w:type="dxa"/>
            </w:tcMar>
            <w:hideMark/>
          </w:tcPr>
          <w:p w14:paraId="4B3F6F0C"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3A05CED6" w14:textId="77777777" w:rsidTr="006E5C07">
        <w:tc>
          <w:tcPr>
            <w:tcW w:w="3365" w:type="dxa"/>
            <w:tcMar>
              <w:top w:w="0" w:type="dxa"/>
              <w:left w:w="108" w:type="dxa"/>
              <w:bottom w:w="0" w:type="dxa"/>
              <w:right w:w="108" w:type="dxa"/>
            </w:tcMar>
            <w:hideMark/>
          </w:tcPr>
          <w:p w14:paraId="56BD8BD8"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Equity</w:t>
            </w:r>
          </w:p>
        </w:tc>
        <w:tc>
          <w:tcPr>
            <w:tcW w:w="492" w:type="dxa"/>
            <w:tcMar>
              <w:top w:w="0" w:type="dxa"/>
              <w:left w:w="108" w:type="dxa"/>
              <w:bottom w:w="0" w:type="dxa"/>
              <w:right w:w="108" w:type="dxa"/>
            </w:tcMar>
            <w:hideMark/>
          </w:tcPr>
          <w:p w14:paraId="40AACB77" w14:textId="77777777" w:rsidR="006E5C07" w:rsidRPr="006E5C07" w:rsidRDefault="006E5C07" w:rsidP="006E5C07">
            <w:pPr>
              <w:spacing w:after="0" w:line="240" w:lineRule="auto"/>
              <w:jc w:val="center"/>
              <w:rPr>
                <w:rFonts w:ascii="Calibri" w:eastAsia="Times New Roman" w:hAnsi="Calibri" w:cs="Calibri"/>
              </w:rPr>
            </w:pPr>
          </w:p>
        </w:tc>
        <w:tc>
          <w:tcPr>
            <w:tcW w:w="2153" w:type="dxa"/>
            <w:tcMar>
              <w:top w:w="0" w:type="dxa"/>
              <w:left w:w="108" w:type="dxa"/>
              <w:bottom w:w="0" w:type="dxa"/>
              <w:right w:w="108" w:type="dxa"/>
            </w:tcMar>
            <w:hideMark/>
          </w:tcPr>
          <w:p w14:paraId="734C6094" w14:textId="77777777" w:rsidR="006E5C07" w:rsidRPr="006E5C07" w:rsidRDefault="006E5C07" w:rsidP="006E5C07">
            <w:pPr>
              <w:spacing w:after="0" w:line="240" w:lineRule="auto"/>
              <w:jc w:val="center"/>
              <w:rPr>
                <w:rFonts w:ascii="Calibri" w:eastAsia="Times New Roman" w:hAnsi="Calibri" w:cs="Calibri"/>
              </w:rPr>
            </w:pPr>
          </w:p>
        </w:tc>
        <w:tc>
          <w:tcPr>
            <w:tcW w:w="2152" w:type="dxa"/>
            <w:tcMar>
              <w:top w:w="0" w:type="dxa"/>
              <w:left w:w="108" w:type="dxa"/>
              <w:bottom w:w="0" w:type="dxa"/>
              <w:right w:w="108" w:type="dxa"/>
            </w:tcMar>
            <w:hideMark/>
          </w:tcPr>
          <w:p w14:paraId="5422117D" w14:textId="77777777" w:rsidR="006E5C07" w:rsidRPr="006E5C07" w:rsidRDefault="006E5C07" w:rsidP="006E5C07">
            <w:pPr>
              <w:spacing w:after="0" w:line="240" w:lineRule="auto"/>
              <w:jc w:val="center"/>
              <w:rPr>
                <w:rFonts w:ascii="Calibri" w:eastAsia="Times New Roman" w:hAnsi="Calibri" w:cs="Calibri"/>
              </w:rPr>
            </w:pPr>
          </w:p>
        </w:tc>
      </w:tr>
      <w:tr w:rsidR="006E5C07" w:rsidRPr="006E5C07" w14:paraId="19F3B28A" w14:textId="77777777" w:rsidTr="006E5C07">
        <w:tc>
          <w:tcPr>
            <w:tcW w:w="3365" w:type="dxa"/>
            <w:tcMar>
              <w:top w:w="0" w:type="dxa"/>
              <w:left w:w="108" w:type="dxa"/>
              <w:bottom w:w="0" w:type="dxa"/>
              <w:right w:w="108" w:type="dxa"/>
            </w:tcMar>
            <w:hideMark/>
          </w:tcPr>
          <w:p w14:paraId="0BDCCD33"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Share capital</w:t>
            </w:r>
          </w:p>
        </w:tc>
        <w:tc>
          <w:tcPr>
            <w:tcW w:w="492" w:type="dxa"/>
            <w:tcMar>
              <w:top w:w="0" w:type="dxa"/>
              <w:left w:w="108" w:type="dxa"/>
              <w:bottom w:w="0" w:type="dxa"/>
              <w:right w:w="108" w:type="dxa"/>
            </w:tcMar>
            <w:hideMark/>
          </w:tcPr>
          <w:p w14:paraId="30B8CEC2"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24</w:t>
            </w:r>
          </w:p>
        </w:tc>
        <w:tc>
          <w:tcPr>
            <w:tcW w:w="2153" w:type="dxa"/>
            <w:tcMar>
              <w:top w:w="0" w:type="dxa"/>
              <w:left w:w="108" w:type="dxa"/>
              <w:bottom w:w="0" w:type="dxa"/>
              <w:right w:w="108" w:type="dxa"/>
            </w:tcMar>
            <w:hideMark/>
          </w:tcPr>
          <w:p w14:paraId="3CE0A8E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195</w:t>
            </w:r>
          </w:p>
        </w:tc>
        <w:tc>
          <w:tcPr>
            <w:tcW w:w="2152" w:type="dxa"/>
            <w:tcMar>
              <w:top w:w="0" w:type="dxa"/>
              <w:left w:w="108" w:type="dxa"/>
              <w:bottom w:w="0" w:type="dxa"/>
              <w:right w:w="108" w:type="dxa"/>
            </w:tcMar>
            <w:hideMark/>
          </w:tcPr>
          <w:p w14:paraId="11BCFAF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195</w:t>
            </w:r>
          </w:p>
        </w:tc>
      </w:tr>
      <w:tr w:rsidR="006E5C07" w:rsidRPr="006E5C07" w14:paraId="7015201E" w14:textId="77777777" w:rsidTr="006E5C07">
        <w:tc>
          <w:tcPr>
            <w:tcW w:w="3365" w:type="dxa"/>
            <w:tcMar>
              <w:top w:w="0" w:type="dxa"/>
              <w:left w:w="108" w:type="dxa"/>
              <w:bottom w:w="0" w:type="dxa"/>
              <w:right w:w="108" w:type="dxa"/>
            </w:tcMar>
            <w:hideMark/>
          </w:tcPr>
          <w:p w14:paraId="35151A72"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Share premium</w:t>
            </w:r>
          </w:p>
        </w:tc>
        <w:tc>
          <w:tcPr>
            <w:tcW w:w="492" w:type="dxa"/>
            <w:tcMar>
              <w:top w:w="0" w:type="dxa"/>
              <w:left w:w="108" w:type="dxa"/>
              <w:bottom w:w="0" w:type="dxa"/>
              <w:right w:w="108" w:type="dxa"/>
            </w:tcMar>
            <w:hideMark/>
          </w:tcPr>
          <w:p w14:paraId="05A457BE" w14:textId="77777777" w:rsidR="006E5C07" w:rsidRPr="006E5C07" w:rsidRDefault="006E5C07" w:rsidP="006E5C07">
            <w:pPr>
              <w:spacing w:after="0" w:line="240" w:lineRule="auto"/>
              <w:jc w:val="center"/>
              <w:rPr>
                <w:rFonts w:ascii="Calibri" w:eastAsia="Times New Roman" w:hAnsi="Calibri" w:cs="Calibri"/>
              </w:rPr>
            </w:pPr>
          </w:p>
        </w:tc>
        <w:tc>
          <w:tcPr>
            <w:tcW w:w="2153" w:type="dxa"/>
            <w:tcMar>
              <w:top w:w="0" w:type="dxa"/>
              <w:left w:w="108" w:type="dxa"/>
              <w:bottom w:w="0" w:type="dxa"/>
              <w:right w:w="108" w:type="dxa"/>
            </w:tcMar>
            <w:hideMark/>
          </w:tcPr>
          <w:p w14:paraId="0CC6BCB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4,868</w:t>
            </w:r>
          </w:p>
        </w:tc>
        <w:tc>
          <w:tcPr>
            <w:tcW w:w="2152" w:type="dxa"/>
            <w:tcMar>
              <w:top w:w="0" w:type="dxa"/>
              <w:left w:w="108" w:type="dxa"/>
              <w:bottom w:w="0" w:type="dxa"/>
              <w:right w:w="108" w:type="dxa"/>
            </w:tcMar>
            <w:hideMark/>
          </w:tcPr>
          <w:p w14:paraId="3F425DC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4,868</w:t>
            </w:r>
          </w:p>
        </w:tc>
      </w:tr>
      <w:tr w:rsidR="006E5C07" w:rsidRPr="006E5C07" w14:paraId="33470FBE" w14:textId="77777777" w:rsidTr="006E5C07">
        <w:tc>
          <w:tcPr>
            <w:tcW w:w="3365" w:type="dxa"/>
            <w:tcMar>
              <w:top w:w="0" w:type="dxa"/>
              <w:left w:w="108" w:type="dxa"/>
              <w:bottom w:w="0" w:type="dxa"/>
              <w:right w:w="108" w:type="dxa"/>
            </w:tcMar>
            <w:hideMark/>
          </w:tcPr>
          <w:p w14:paraId="757E03E6"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Special reserve</w:t>
            </w:r>
          </w:p>
        </w:tc>
        <w:tc>
          <w:tcPr>
            <w:tcW w:w="492" w:type="dxa"/>
            <w:tcMar>
              <w:top w:w="0" w:type="dxa"/>
              <w:left w:w="108" w:type="dxa"/>
              <w:bottom w:w="0" w:type="dxa"/>
              <w:right w:w="108" w:type="dxa"/>
            </w:tcMar>
            <w:hideMark/>
          </w:tcPr>
          <w:p w14:paraId="7E68890F" w14:textId="77777777" w:rsidR="006E5C07" w:rsidRPr="006E5C07" w:rsidRDefault="006E5C07" w:rsidP="006E5C07">
            <w:pPr>
              <w:spacing w:after="0" w:line="240" w:lineRule="auto"/>
              <w:jc w:val="center"/>
              <w:rPr>
                <w:rFonts w:ascii="Calibri" w:eastAsia="Times New Roman" w:hAnsi="Calibri" w:cs="Calibri"/>
              </w:rPr>
            </w:pPr>
          </w:p>
        </w:tc>
        <w:tc>
          <w:tcPr>
            <w:tcW w:w="2153" w:type="dxa"/>
            <w:tcMar>
              <w:top w:w="0" w:type="dxa"/>
              <w:left w:w="108" w:type="dxa"/>
              <w:bottom w:w="0" w:type="dxa"/>
              <w:right w:w="108" w:type="dxa"/>
            </w:tcMar>
            <w:hideMark/>
          </w:tcPr>
          <w:p w14:paraId="0B5F040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233</w:t>
            </w:r>
          </w:p>
        </w:tc>
        <w:tc>
          <w:tcPr>
            <w:tcW w:w="2152" w:type="dxa"/>
            <w:tcMar>
              <w:top w:w="0" w:type="dxa"/>
              <w:left w:w="108" w:type="dxa"/>
              <w:bottom w:w="0" w:type="dxa"/>
              <w:right w:w="108" w:type="dxa"/>
            </w:tcMar>
            <w:hideMark/>
          </w:tcPr>
          <w:p w14:paraId="572B4D7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233</w:t>
            </w:r>
          </w:p>
        </w:tc>
      </w:tr>
      <w:tr w:rsidR="006E5C07" w:rsidRPr="006E5C07" w14:paraId="504287F4" w14:textId="77777777" w:rsidTr="006E5C07">
        <w:tc>
          <w:tcPr>
            <w:tcW w:w="3365" w:type="dxa"/>
            <w:tcMar>
              <w:top w:w="0" w:type="dxa"/>
              <w:left w:w="108" w:type="dxa"/>
              <w:bottom w:w="0" w:type="dxa"/>
              <w:right w:w="108" w:type="dxa"/>
            </w:tcMar>
            <w:hideMark/>
          </w:tcPr>
          <w:p w14:paraId="4833B321"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Retained earnings</w:t>
            </w:r>
          </w:p>
        </w:tc>
        <w:tc>
          <w:tcPr>
            <w:tcW w:w="492" w:type="dxa"/>
            <w:tcMar>
              <w:top w:w="0" w:type="dxa"/>
              <w:left w:w="108" w:type="dxa"/>
              <w:bottom w:w="0" w:type="dxa"/>
              <w:right w:w="108" w:type="dxa"/>
            </w:tcMar>
            <w:hideMark/>
          </w:tcPr>
          <w:p w14:paraId="026BE14B" w14:textId="77777777" w:rsidR="006E5C07" w:rsidRPr="006E5C07" w:rsidRDefault="006E5C07" w:rsidP="006E5C07">
            <w:pPr>
              <w:spacing w:after="0" w:line="240" w:lineRule="auto"/>
              <w:jc w:val="center"/>
              <w:rPr>
                <w:rFonts w:ascii="Calibri" w:eastAsia="Times New Roman" w:hAnsi="Calibri" w:cs="Calibri"/>
              </w:rPr>
            </w:pPr>
          </w:p>
        </w:tc>
        <w:tc>
          <w:tcPr>
            <w:tcW w:w="2153" w:type="dxa"/>
            <w:tcMar>
              <w:top w:w="0" w:type="dxa"/>
              <w:left w:w="108" w:type="dxa"/>
              <w:bottom w:w="0" w:type="dxa"/>
              <w:right w:w="108" w:type="dxa"/>
            </w:tcMar>
            <w:hideMark/>
          </w:tcPr>
          <w:p w14:paraId="7FAEA7B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(587)</w:t>
            </w:r>
          </w:p>
        </w:tc>
        <w:tc>
          <w:tcPr>
            <w:tcW w:w="2152" w:type="dxa"/>
            <w:tcMar>
              <w:top w:w="0" w:type="dxa"/>
              <w:left w:w="108" w:type="dxa"/>
              <w:bottom w:w="0" w:type="dxa"/>
              <w:right w:w="108" w:type="dxa"/>
            </w:tcMar>
            <w:hideMark/>
          </w:tcPr>
          <w:p w14:paraId="6A656E3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2,799</w:t>
            </w:r>
          </w:p>
        </w:tc>
      </w:tr>
      <w:tr w:rsidR="006E5C07" w:rsidRPr="006E5C07" w14:paraId="5E82F9EA" w14:textId="77777777" w:rsidTr="006E5C07">
        <w:tc>
          <w:tcPr>
            <w:tcW w:w="3365" w:type="dxa"/>
            <w:tcMar>
              <w:top w:w="0" w:type="dxa"/>
              <w:left w:w="108" w:type="dxa"/>
              <w:bottom w:w="0" w:type="dxa"/>
              <w:right w:w="108" w:type="dxa"/>
            </w:tcMar>
            <w:hideMark/>
          </w:tcPr>
          <w:p w14:paraId="23667029" w14:textId="77777777" w:rsidR="006E5C07" w:rsidRPr="006E5C07" w:rsidRDefault="006E5C07" w:rsidP="006E5C07">
            <w:pPr>
              <w:spacing w:after="0" w:line="240" w:lineRule="auto"/>
              <w:rPr>
                <w:rFonts w:ascii="Calibri" w:eastAsia="Times New Roman" w:hAnsi="Calibri" w:cs="Calibri"/>
              </w:rPr>
            </w:pPr>
          </w:p>
        </w:tc>
        <w:tc>
          <w:tcPr>
            <w:tcW w:w="492" w:type="dxa"/>
            <w:tcMar>
              <w:top w:w="0" w:type="dxa"/>
              <w:left w:w="108" w:type="dxa"/>
              <w:bottom w:w="0" w:type="dxa"/>
              <w:right w:w="108" w:type="dxa"/>
            </w:tcMar>
            <w:hideMark/>
          </w:tcPr>
          <w:p w14:paraId="2BE9AA8A" w14:textId="77777777" w:rsidR="006E5C07" w:rsidRPr="006E5C07" w:rsidRDefault="006E5C07" w:rsidP="006E5C07">
            <w:pPr>
              <w:spacing w:after="0" w:line="240" w:lineRule="auto"/>
              <w:jc w:val="center"/>
              <w:rPr>
                <w:rFonts w:ascii="Calibri" w:eastAsia="Times New Roman" w:hAnsi="Calibri" w:cs="Calibri"/>
              </w:rPr>
            </w:pPr>
          </w:p>
        </w:tc>
        <w:tc>
          <w:tcPr>
            <w:tcW w:w="2153" w:type="dxa"/>
            <w:tcBorders>
              <w:top w:val="nil"/>
              <w:left w:val="nil"/>
              <w:bottom w:val="single" w:sz="8" w:space="0" w:color="auto"/>
              <w:right w:val="nil"/>
            </w:tcBorders>
            <w:tcMar>
              <w:top w:w="0" w:type="dxa"/>
              <w:left w:w="108" w:type="dxa"/>
              <w:bottom w:w="0" w:type="dxa"/>
              <w:right w:w="108" w:type="dxa"/>
            </w:tcMar>
            <w:hideMark/>
          </w:tcPr>
          <w:p w14:paraId="3E403B36" w14:textId="77777777" w:rsidR="006E5C07" w:rsidRPr="006E5C07" w:rsidRDefault="006E5C07" w:rsidP="006E5C07">
            <w:pPr>
              <w:spacing w:after="0" w:line="240" w:lineRule="auto"/>
              <w:jc w:val="right"/>
              <w:rPr>
                <w:rFonts w:ascii="Calibri" w:eastAsia="Times New Roman" w:hAnsi="Calibri" w:cs="Calibri"/>
              </w:rPr>
            </w:pPr>
          </w:p>
        </w:tc>
        <w:tc>
          <w:tcPr>
            <w:tcW w:w="2152" w:type="dxa"/>
            <w:tcBorders>
              <w:top w:val="nil"/>
              <w:left w:val="nil"/>
              <w:bottom w:val="single" w:sz="8" w:space="0" w:color="auto"/>
              <w:right w:val="nil"/>
            </w:tcBorders>
            <w:tcMar>
              <w:top w:w="0" w:type="dxa"/>
              <w:left w:w="108" w:type="dxa"/>
              <w:bottom w:w="0" w:type="dxa"/>
              <w:right w:w="108" w:type="dxa"/>
            </w:tcMar>
            <w:hideMark/>
          </w:tcPr>
          <w:p w14:paraId="412C609B"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667A03FA" w14:textId="77777777" w:rsidTr="006E5C07">
        <w:tc>
          <w:tcPr>
            <w:tcW w:w="3365" w:type="dxa"/>
            <w:tcMar>
              <w:top w:w="0" w:type="dxa"/>
              <w:left w:w="108" w:type="dxa"/>
              <w:bottom w:w="0" w:type="dxa"/>
              <w:right w:w="108" w:type="dxa"/>
            </w:tcMar>
            <w:hideMark/>
          </w:tcPr>
          <w:p w14:paraId="61BA7D84"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Equity attributable to owners of the</w:t>
            </w:r>
          </w:p>
        </w:tc>
        <w:tc>
          <w:tcPr>
            <w:tcW w:w="492" w:type="dxa"/>
            <w:tcMar>
              <w:top w:w="0" w:type="dxa"/>
              <w:left w:w="108" w:type="dxa"/>
              <w:bottom w:w="0" w:type="dxa"/>
              <w:right w:w="108" w:type="dxa"/>
            </w:tcMar>
            <w:hideMark/>
          </w:tcPr>
          <w:p w14:paraId="4A6E264A" w14:textId="77777777" w:rsidR="006E5C07" w:rsidRPr="006E5C07" w:rsidRDefault="006E5C07" w:rsidP="006E5C07">
            <w:pPr>
              <w:spacing w:after="0" w:line="240" w:lineRule="auto"/>
              <w:jc w:val="center"/>
              <w:rPr>
                <w:rFonts w:ascii="Calibri" w:eastAsia="Times New Roman" w:hAnsi="Calibri" w:cs="Calibri"/>
              </w:rPr>
            </w:pPr>
          </w:p>
        </w:tc>
        <w:tc>
          <w:tcPr>
            <w:tcW w:w="2153" w:type="dxa"/>
            <w:tcBorders>
              <w:top w:val="nil"/>
              <w:left w:val="nil"/>
              <w:bottom w:val="nil"/>
              <w:right w:val="nil"/>
            </w:tcBorders>
            <w:tcMar>
              <w:top w:w="0" w:type="dxa"/>
              <w:left w:w="108" w:type="dxa"/>
              <w:bottom w:w="0" w:type="dxa"/>
              <w:right w:w="108" w:type="dxa"/>
            </w:tcMar>
            <w:hideMark/>
          </w:tcPr>
          <w:p w14:paraId="7EBFCFF4"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4,709</w:t>
            </w:r>
          </w:p>
        </w:tc>
        <w:tc>
          <w:tcPr>
            <w:tcW w:w="2152" w:type="dxa"/>
            <w:tcBorders>
              <w:top w:val="nil"/>
              <w:left w:val="nil"/>
              <w:bottom w:val="nil"/>
              <w:right w:val="nil"/>
            </w:tcBorders>
            <w:tcMar>
              <w:top w:w="0" w:type="dxa"/>
              <w:left w:w="108" w:type="dxa"/>
              <w:bottom w:w="0" w:type="dxa"/>
              <w:right w:w="108" w:type="dxa"/>
            </w:tcMar>
            <w:hideMark/>
          </w:tcPr>
          <w:p w14:paraId="1F99B323"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8,095</w:t>
            </w:r>
          </w:p>
        </w:tc>
      </w:tr>
      <w:tr w:rsidR="006E5C07" w:rsidRPr="006E5C07" w14:paraId="4761AFC9" w14:textId="77777777" w:rsidTr="006E5C07">
        <w:tc>
          <w:tcPr>
            <w:tcW w:w="3365" w:type="dxa"/>
            <w:tcMar>
              <w:top w:w="0" w:type="dxa"/>
              <w:left w:w="108" w:type="dxa"/>
              <w:bottom w:w="0" w:type="dxa"/>
              <w:right w:w="108" w:type="dxa"/>
            </w:tcMar>
            <w:hideMark/>
          </w:tcPr>
          <w:p w14:paraId="71F78BD9"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Company</w:t>
            </w:r>
          </w:p>
        </w:tc>
        <w:tc>
          <w:tcPr>
            <w:tcW w:w="492" w:type="dxa"/>
            <w:tcMar>
              <w:top w:w="0" w:type="dxa"/>
              <w:left w:w="108" w:type="dxa"/>
              <w:bottom w:w="0" w:type="dxa"/>
              <w:right w:w="108" w:type="dxa"/>
            </w:tcMar>
            <w:hideMark/>
          </w:tcPr>
          <w:p w14:paraId="40BCF19A" w14:textId="77777777" w:rsidR="006E5C07" w:rsidRPr="006E5C07" w:rsidRDefault="006E5C07" w:rsidP="006E5C07">
            <w:pPr>
              <w:spacing w:after="0" w:line="240" w:lineRule="auto"/>
              <w:jc w:val="center"/>
              <w:rPr>
                <w:rFonts w:ascii="Calibri" w:eastAsia="Times New Roman" w:hAnsi="Calibri" w:cs="Calibri"/>
              </w:rPr>
            </w:pPr>
          </w:p>
        </w:tc>
        <w:tc>
          <w:tcPr>
            <w:tcW w:w="2153" w:type="dxa"/>
            <w:tcMar>
              <w:top w:w="0" w:type="dxa"/>
              <w:left w:w="108" w:type="dxa"/>
              <w:bottom w:w="0" w:type="dxa"/>
              <w:right w:w="108" w:type="dxa"/>
            </w:tcMar>
            <w:hideMark/>
          </w:tcPr>
          <w:p w14:paraId="2B8D7ED5" w14:textId="77777777" w:rsidR="006E5C07" w:rsidRPr="006E5C07" w:rsidRDefault="006E5C07" w:rsidP="006E5C07">
            <w:pPr>
              <w:spacing w:after="0" w:line="240" w:lineRule="auto"/>
              <w:jc w:val="right"/>
              <w:rPr>
                <w:rFonts w:ascii="Calibri" w:eastAsia="Times New Roman" w:hAnsi="Calibri" w:cs="Calibri"/>
                <w:b/>
                <w:bCs/>
              </w:rPr>
            </w:pPr>
          </w:p>
        </w:tc>
        <w:tc>
          <w:tcPr>
            <w:tcW w:w="2152" w:type="dxa"/>
            <w:tcMar>
              <w:top w:w="0" w:type="dxa"/>
              <w:left w:w="108" w:type="dxa"/>
              <w:bottom w:w="0" w:type="dxa"/>
              <w:right w:w="108" w:type="dxa"/>
            </w:tcMar>
            <w:hideMark/>
          </w:tcPr>
          <w:p w14:paraId="6E477BB5"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06DE981D" w14:textId="77777777" w:rsidTr="006E5C07">
        <w:tc>
          <w:tcPr>
            <w:tcW w:w="3365" w:type="dxa"/>
            <w:tcMar>
              <w:top w:w="0" w:type="dxa"/>
              <w:left w:w="108" w:type="dxa"/>
              <w:bottom w:w="0" w:type="dxa"/>
              <w:right w:w="108" w:type="dxa"/>
            </w:tcMar>
            <w:hideMark/>
          </w:tcPr>
          <w:p w14:paraId="09A1948E"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Non-controlling interest</w:t>
            </w:r>
          </w:p>
        </w:tc>
        <w:tc>
          <w:tcPr>
            <w:tcW w:w="492" w:type="dxa"/>
            <w:tcMar>
              <w:top w:w="0" w:type="dxa"/>
              <w:left w:w="108" w:type="dxa"/>
              <w:bottom w:w="0" w:type="dxa"/>
              <w:right w:w="108" w:type="dxa"/>
            </w:tcMar>
            <w:hideMark/>
          </w:tcPr>
          <w:p w14:paraId="16CCB998" w14:textId="77777777" w:rsidR="006E5C07" w:rsidRPr="006E5C07" w:rsidRDefault="006E5C07" w:rsidP="006E5C07">
            <w:pPr>
              <w:spacing w:after="0" w:line="240" w:lineRule="auto"/>
              <w:jc w:val="center"/>
              <w:rPr>
                <w:rFonts w:ascii="Calibri" w:eastAsia="Times New Roman" w:hAnsi="Calibri" w:cs="Calibri"/>
              </w:rPr>
            </w:pPr>
          </w:p>
        </w:tc>
        <w:tc>
          <w:tcPr>
            <w:tcW w:w="2153" w:type="dxa"/>
            <w:tcBorders>
              <w:top w:val="nil"/>
              <w:left w:val="nil"/>
              <w:bottom w:val="single" w:sz="8" w:space="0" w:color="auto"/>
              <w:right w:val="nil"/>
            </w:tcBorders>
            <w:tcMar>
              <w:top w:w="0" w:type="dxa"/>
              <w:left w:w="108" w:type="dxa"/>
              <w:bottom w:w="0" w:type="dxa"/>
              <w:right w:w="108" w:type="dxa"/>
            </w:tcMar>
            <w:hideMark/>
          </w:tcPr>
          <w:p w14:paraId="46F8C3E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(24)</w:t>
            </w:r>
          </w:p>
        </w:tc>
        <w:tc>
          <w:tcPr>
            <w:tcW w:w="2152" w:type="dxa"/>
            <w:tcBorders>
              <w:top w:val="nil"/>
              <w:left w:val="nil"/>
              <w:bottom w:val="single" w:sz="8" w:space="0" w:color="auto"/>
              <w:right w:val="nil"/>
            </w:tcBorders>
            <w:tcMar>
              <w:top w:w="0" w:type="dxa"/>
              <w:left w:w="108" w:type="dxa"/>
              <w:bottom w:w="0" w:type="dxa"/>
              <w:right w:w="108" w:type="dxa"/>
            </w:tcMar>
            <w:hideMark/>
          </w:tcPr>
          <w:p w14:paraId="50812E6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215</w:t>
            </w:r>
          </w:p>
        </w:tc>
      </w:tr>
      <w:tr w:rsidR="006E5C07" w:rsidRPr="006E5C07" w14:paraId="7016E63E" w14:textId="77777777" w:rsidTr="006E5C07">
        <w:tc>
          <w:tcPr>
            <w:tcW w:w="3365" w:type="dxa"/>
            <w:tcMar>
              <w:top w:w="0" w:type="dxa"/>
              <w:left w:w="108" w:type="dxa"/>
              <w:bottom w:w="0" w:type="dxa"/>
              <w:right w:w="108" w:type="dxa"/>
            </w:tcMar>
            <w:hideMark/>
          </w:tcPr>
          <w:p w14:paraId="247E50D3"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Total equity</w:t>
            </w:r>
          </w:p>
        </w:tc>
        <w:tc>
          <w:tcPr>
            <w:tcW w:w="492" w:type="dxa"/>
            <w:tcMar>
              <w:top w:w="0" w:type="dxa"/>
              <w:left w:w="108" w:type="dxa"/>
              <w:bottom w:w="0" w:type="dxa"/>
              <w:right w:w="108" w:type="dxa"/>
            </w:tcMar>
            <w:hideMark/>
          </w:tcPr>
          <w:p w14:paraId="1CEF82A6" w14:textId="77777777" w:rsidR="006E5C07" w:rsidRPr="006E5C07" w:rsidRDefault="006E5C07" w:rsidP="006E5C07">
            <w:pPr>
              <w:spacing w:after="0" w:line="240" w:lineRule="auto"/>
              <w:jc w:val="center"/>
              <w:rPr>
                <w:rFonts w:ascii="Calibri" w:eastAsia="Times New Roman" w:hAnsi="Calibri" w:cs="Calibri"/>
              </w:rPr>
            </w:pPr>
          </w:p>
        </w:tc>
        <w:tc>
          <w:tcPr>
            <w:tcW w:w="2153" w:type="dxa"/>
            <w:tcBorders>
              <w:top w:val="nil"/>
              <w:left w:val="nil"/>
              <w:bottom w:val="single" w:sz="12" w:space="0" w:color="auto"/>
              <w:right w:val="nil"/>
            </w:tcBorders>
            <w:tcMar>
              <w:top w:w="0" w:type="dxa"/>
              <w:left w:w="108" w:type="dxa"/>
              <w:bottom w:w="0" w:type="dxa"/>
              <w:right w:w="108" w:type="dxa"/>
            </w:tcMar>
            <w:hideMark/>
          </w:tcPr>
          <w:p w14:paraId="2B73E589"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4,685</w:t>
            </w:r>
          </w:p>
        </w:tc>
        <w:tc>
          <w:tcPr>
            <w:tcW w:w="2152" w:type="dxa"/>
            <w:tcBorders>
              <w:top w:val="nil"/>
              <w:left w:val="nil"/>
              <w:bottom w:val="single" w:sz="12" w:space="0" w:color="auto"/>
              <w:right w:val="nil"/>
            </w:tcBorders>
            <w:tcMar>
              <w:top w:w="0" w:type="dxa"/>
              <w:left w:w="108" w:type="dxa"/>
              <w:bottom w:w="0" w:type="dxa"/>
              <w:right w:w="108" w:type="dxa"/>
            </w:tcMar>
            <w:hideMark/>
          </w:tcPr>
          <w:p w14:paraId="18397A56"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8,310</w:t>
            </w:r>
          </w:p>
        </w:tc>
      </w:tr>
    </w:tbl>
    <w:p w14:paraId="398BD0C9" w14:textId="77777777" w:rsidR="006E5C07" w:rsidRPr="006E5C07" w:rsidRDefault="006E5C07" w:rsidP="006E5C07">
      <w:pPr>
        <w:spacing w:after="200" w:line="253" w:lineRule="atLeast"/>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43D57707"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lastRenderedPageBreak/>
        <w:t>The financial statements were approved by the Board of Directors and authorised for issue on 3 June 2021.</w:t>
      </w:r>
    </w:p>
    <w:p w14:paraId="6F44105F"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2134FBA2"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Signed on behalf of the Board of Directors by:</w:t>
      </w:r>
    </w:p>
    <w:p w14:paraId="08A637B8"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6BB4345B" w14:textId="77777777" w:rsidR="006E5C07" w:rsidRPr="006E5C07" w:rsidRDefault="006E5C07" w:rsidP="006E5C07">
      <w:pPr>
        <w:spacing w:after="200" w:line="253" w:lineRule="atLeast"/>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7B496ED5" w14:textId="77777777" w:rsidR="006E5C07" w:rsidRPr="006E5C07" w:rsidRDefault="006E5C07" w:rsidP="006E5C07">
      <w:pPr>
        <w:spacing w:after="200" w:line="253" w:lineRule="atLeast"/>
        <w:rPr>
          <w:rFonts w:ascii="Calibri" w:eastAsia="Times New Roman" w:hAnsi="Calibri" w:cs="Calibri"/>
          <w:color w:val="16202C"/>
        </w:rPr>
      </w:pPr>
      <w:r w:rsidRPr="006E5C07">
        <w:rPr>
          <w:rFonts w:ascii="Gill Sans MT" w:eastAsia="Times New Roman" w:hAnsi="Gill Sans MT" w:cs="Calibri"/>
          <w:color w:val="16202C"/>
          <w:sz w:val="18"/>
          <w:szCs w:val="18"/>
        </w:rPr>
        <w:t>Nancy Cullen - Director</w:t>
      </w:r>
    </w:p>
    <w:p w14:paraId="4B2DD13F" w14:textId="77777777" w:rsidR="006E5C07" w:rsidRPr="006E5C07" w:rsidRDefault="006E5C07" w:rsidP="006E5C07">
      <w:pPr>
        <w:spacing w:after="200" w:line="253" w:lineRule="atLeast"/>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37C13F12" w14:textId="77777777" w:rsidR="006E5C07" w:rsidRPr="006E5C07" w:rsidRDefault="006E5C07" w:rsidP="006E5C07">
      <w:pPr>
        <w:spacing w:after="200" w:line="253" w:lineRule="atLeast"/>
        <w:rPr>
          <w:rFonts w:ascii="Calibri" w:eastAsia="Times New Roman" w:hAnsi="Calibri" w:cs="Calibri"/>
          <w:color w:val="16202C"/>
          <w:u w:val="single"/>
        </w:rPr>
      </w:pPr>
      <w:r w:rsidRPr="006E5C07">
        <w:rPr>
          <w:rFonts w:ascii="Gill Sans MT" w:eastAsia="Times New Roman" w:hAnsi="Gill Sans MT" w:cs="Calibri"/>
          <w:color w:val="16202C"/>
          <w:sz w:val="18"/>
          <w:szCs w:val="18"/>
          <w:u w:val="single"/>
        </w:rPr>
        <w:t>Consolidated Statement of Cash Flows</w:t>
      </w:r>
    </w:p>
    <w:p w14:paraId="0B9D5F92" w14:textId="77777777" w:rsidR="006E5C07" w:rsidRPr="006E5C07" w:rsidRDefault="006E5C07" w:rsidP="006E5C07">
      <w:pPr>
        <w:spacing w:line="253" w:lineRule="atLeast"/>
        <w:rPr>
          <w:rFonts w:ascii="Calibri" w:eastAsia="Times New Roman" w:hAnsi="Calibri" w:cs="Calibri"/>
          <w:color w:val="16202C"/>
          <w:u w:val="single"/>
        </w:rPr>
      </w:pPr>
      <w:r w:rsidRPr="006E5C07">
        <w:rPr>
          <w:rFonts w:ascii="Gill Sans MT" w:eastAsia="Times New Roman" w:hAnsi="Gill Sans MT" w:cs="Calibri"/>
          <w:color w:val="16202C"/>
          <w:sz w:val="18"/>
          <w:szCs w:val="18"/>
          <w:u w:val="single"/>
        </w:rPr>
        <w:t>For the 12 months ended 31 December 2020</w:t>
      </w:r>
    </w:p>
    <w:tbl>
      <w:tblPr>
        <w:tblW w:w="0" w:type="auto"/>
        <w:tblInd w:w="-108" w:type="dxa"/>
        <w:tblCellMar>
          <w:left w:w="0" w:type="dxa"/>
          <w:right w:w="0" w:type="dxa"/>
        </w:tblCellMar>
        <w:tblLook w:val="04A0" w:firstRow="1" w:lastRow="0" w:firstColumn="1" w:lastColumn="0" w:noHBand="0" w:noVBand="1"/>
      </w:tblPr>
      <w:tblGrid>
        <w:gridCol w:w="3436"/>
        <w:gridCol w:w="672"/>
        <w:gridCol w:w="2194"/>
        <w:gridCol w:w="2193"/>
      </w:tblGrid>
      <w:tr w:rsidR="006E5C07" w:rsidRPr="006E5C07" w14:paraId="648C288B" w14:textId="77777777" w:rsidTr="006E5C07">
        <w:tc>
          <w:tcPr>
            <w:tcW w:w="3436" w:type="dxa"/>
            <w:tcBorders>
              <w:top w:val="nil"/>
              <w:left w:val="nil"/>
              <w:bottom w:val="nil"/>
              <w:right w:val="nil"/>
            </w:tcBorders>
            <w:tcMar>
              <w:top w:w="0" w:type="dxa"/>
              <w:left w:w="108" w:type="dxa"/>
              <w:bottom w:w="0" w:type="dxa"/>
              <w:right w:w="108" w:type="dxa"/>
            </w:tcMar>
            <w:hideMark/>
          </w:tcPr>
          <w:p w14:paraId="2F682933" w14:textId="77777777" w:rsidR="006E5C07" w:rsidRPr="006E5C07" w:rsidRDefault="006E5C07" w:rsidP="006E5C07">
            <w:pPr>
              <w:spacing w:after="0" w:line="240" w:lineRule="auto"/>
              <w:rPr>
                <w:rFonts w:ascii="Calibri" w:eastAsia="Times New Roman" w:hAnsi="Calibri" w:cs="Calibri"/>
              </w:rPr>
            </w:pPr>
          </w:p>
        </w:tc>
        <w:tc>
          <w:tcPr>
            <w:tcW w:w="493" w:type="dxa"/>
            <w:tcBorders>
              <w:top w:val="nil"/>
              <w:left w:val="nil"/>
              <w:bottom w:val="nil"/>
              <w:right w:val="nil"/>
            </w:tcBorders>
            <w:tcMar>
              <w:top w:w="0" w:type="dxa"/>
              <w:left w:w="108" w:type="dxa"/>
              <w:bottom w:w="0" w:type="dxa"/>
              <w:right w:w="108" w:type="dxa"/>
            </w:tcMar>
            <w:hideMark/>
          </w:tcPr>
          <w:p w14:paraId="4A01561B"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Notes</w:t>
            </w:r>
          </w:p>
        </w:tc>
        <w:tc>
          <w:tcPr>
            <w:tcW w:w="2194" w:type="dxa"/>
            <w:tcBorders>
              <w:top w:val="nil"/>
              <w:left w:val="nil"/>
              <w:bottom w:val="nil"/>
              <w:right w:val="nil"/>
            </w:tcBorders>
            <w:tcMar>
              <w:top w:w="0" w:type="dxa"/>
              <w:left w:w="108" w:type="dxa"/>
              <w:bottom w:w="0" w:type="dxa"/>
              <w:right w:w="108" w:type="dxa"/>
            </w:tcMar>
            <w:hideMark/>
          </w:tcPr>
          <w:p w14:paraId="305115B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c>
          <w:tcPr>
            <w:tcW w:w="2193" w:type="dxa"/>
            <w:tcBorders>
              <w:top w:val="nil"/>
              <w:left w:val="nil"/>
              <w:bottom w:val="nil"/>
              <w:right w:val="nil"/>
            </w:tcBorders>
            <w:tcMar>
              <w:top w:w="0" w:type="dxa"/>
              <w:left w:w="108" w:type="dxa"/>
              <w:bottom w:w="0" w:type="dxa"/>
              <w:right w:w="108" w:type="dxa"/>
            </w:tcMar>
            <w:hideMark/>
          </w:tcPr>
          <w:p w14:paraId="31BAC10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r>
      <w:tr w:rsidR="006E5C07" w:rsidRPr="006E5C07" w14:paraId="15A999A2" w14:textId="77777777" w:rsidTr="006E5C07">
        <w:tc>
          <w:tcPr>
            <w:tcW w:w="3436" w:type="dxa"/>
            <w:tcBorders>
              <w:top w:val="nil"/>
              <w:left w:val="nil"/>
              <w:bottom w:val="nil"/>
              <w:right w:val="nil"/>
            </w:tcBorders>
            <w:tcMar>
              <w:top w:w="0" w:type="dxa"/>
              <w:left w:w="108" w:type="dxa"/>
              <w:bottom w:w="0" w:type="dxa"/>
              <w:right w:w="108" w:type="dxa"/>
            </w:tcMar>
            <w:hideMark/>
          </w:tcPr>
          <w:p w14:paraId="6FFC5820" w14:textId="77777777" w:rsidR="006E5C07" w:rsidRPr="006E5C07" w:rsidRDefault="006E5C07" w:rsidP="006E5C07">
            <w:pPr>
              <w:spacing w:after="0" w:line="240" w:lineRule="auto"/>
              <w:rPr>
                <w:rFonts w:ascii="Calibri" w:eastAsia="Times New Roman" w:hAnsi="Calibri" w:cs="Calibri"/>
              </w:rPr>
            </w:pPr>
          </w:p>
        </w:tc>
        <w:tc>
          <w:tcPr>
            <w:tcW w:w="493" w:type="dxa"/>
            <w:tcBorders>
              <w:top w:val="nil"/>
              <w:left w:val="nil"/>
              <w:bottom w:val="nil"/>
              <w:right w:val="nil"/>
            </w:tcBorders>
            <w:tcMar>
              <w:top w:w="0" w:type="dxa"/>
              <w:left w:w="108" w:type="dxa"/>
              <w:bottom w:w="0" w:type="dxa"/>
              <w:right w:w="108" w:type="dxa"/>
            </w:tcMar>
            <w:hideMark/>
          </w:tcPr>
          <w:p w14:paraId="3ECDB897" w14:textId="77777777" w:rsidR="006E5C07" w:rsidRPr="006E5C07" w:rsidRDefault="006E5C07" w:rsidP="006E5C07">
            <w:pPr>
              <w:spacing w:after="0" w:line="240" w:lineRule="auto"/>
              <w:jc w:val="center"/>
              <w:rPr>
                <w:rFonts w:ascii="Calibri" w:eastAsia="Times New Roman" w:hAnsi="Calibri" w:cs="Calibri"/>
              </w:rPr>
            </w:pPr>
          </w:p>
        </w:tc>
        <w:tc>
          <w:tcPr>
            <w:tcW w:w="2194" w:type="dxa"/>
            <w:tcBorders>
              <w:top w:val="nil"/>
              <w:left w:val="nil"/>
              <w:bottom w:val="nil"/>
              <w:right w:val="nil"/>
            </w:tcBorders>
            <w:tcMar>
              <w:top w:w="0" w:type="dxa"/>
              <w:left w:w="108" w:type="dxa"/>
              <w:bottom w:w="0" w:type="dxa"/>
              <w:right w:w="108" w:type="dxa"/>
            </w:tcMar>
            <w:hideMark/>
          </w:tcPr>
          <w:p w14:paraId="752F412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'20</w:t>
            </w:r>
          </w:p>
        </w:tc>
        <w:tc>
          <w:tcPr>
            <w:tcW w:w="2193" w:type="dxa"/>
            <w:tcBorders>
              <w:top w:val="nil"/>
              <w:left w:val="nil"/>
              <w:bottom w:val="nil"/>
              <w:right w:val="nil"/>
            </w:tcBorders>
            <w:tcMar>
              <w:top w:w="0" w:type="dxa"/>
              <w:left w:w="108" w:type="dxa"/>
              <w:bottom w:w="0" w:type="dxa"/>
              <w:right w:w="108" w:type="dxa"/>
            </w:tcMar>
            <w:hideMark/>
          </w:tcPr>
          <w:p w14:paraId="30E3A69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'19</w:t>
            </w:r>
          </w:p>
          <w:p w14:paraId="287B1A3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as restated</w:t>
            </w:r>
          </w:p>
        </w:tc>
      </w:tr>
      <w:tr w:rsidR="006E5C07" w:rsidRPr="006E5C07" w14:paraId="178BE9AE" w14:textId="77777777" w:rsidTr="006E5C07">
        <w:tc>
          <w:tcPr>
            <w:tcW w:w="3436" w:type="dxa"/>
            <w:tcBorders>
              <w:top w:val="nil"/>
              <w:left w:val="nil"/>
              <w:bottom w:val="nil"/>
              <w:right w:val="nil"/>
            </w:tcBorders>
            <w:tcMar>
              <w:top w:w="0" w:type="dxa"/>
              <w:left w:w="108" w:type="dxa"/>
              <w:bottom w:w="0" w:type="dxa"/>
              <w:right w:w="108" w:type="dxa"/>
            </w:tcMar>
            <w:hideMark/>
          </w:tcPr>
          <w:p w14:paraId="267793AD" w14:textId="77777777" w:rsidR="006E5C07" w:rsidRPr="006E5C07" w:rsidRDefault="006E5C07" w:rsidP="006E5C07">
            <w:pPr>
              <w:spacing w:after="0" w:line="240" w:lineRule="auto"/>
              <w:rPr>
                <w:rFonts w:ascii="Calibri" w:eastAsia="Times New Roman" w:hAnsi="Calibri" w:cs="Calibri"/>
              </w:rPr>
            </w:pPr>
          </w:p>
        </w:tc>
        <w:tc>
          <w:tcPr>
            <w:tcW w:w="493" w:type="dxa"/>
            <w:tcBorders>
              <w:top w:val="nil"/>
              <w:left w:val="nil"/>
              <w:bottom w:val="nil"/>
              <w:right w:val="nil"/>
            </w:tcBorders>
            <w:tcMar>
              <w:top w:w="0" w:type="dxa"/>
              <w:left w:w="108" w:type="dxa"/>
              <w:bottom w:w="0" w:type="dxa"/>
              <w:right w:w="108" w:type="dxa"/>
            </w:tcMar>
            <w:hideMark/>
          </w:tcPr>
          <w:p w14:paraId="546913B0" w14:textId="77777777" w:rsidR="006E5C07" w:rsidRPr="006E5C07" w:rsidRDefault="006E5C07" w:rsidP="006E5C07">
            <w:pPr>
              <w:spacing w:after="0" w:line="240" w:lineRule="auto"/>
              <w:jc w:val="center"/>
              <w:rPr>
                <w:rFonts w:ascii="Calibri" w:eastAsia="Times New Roman" w:hAnsi="Calibri" w:cs="Calibri"/>
              </w:rPr>
            </w:pPr>
          </w:p>
        </w:tc>
        <w:tc>
          <w:tcPr>
            <w:tcW w:w="2194" w:type="dxa"/>
            <w:tcBorders>
              <w:top w:val="nil"/>
              <w:left w:val="nil"/>
              <w:bottom w:val="nil"/>
              <w:right w:val="nil"/>
            </w:tcBorders>
            <w:tcMar>
              <w:top w:w="0" w:type="dxa"/>
              <w:left w:w="108" w:type="dxa"/>
              <w:bottom w:w="0" w:type="dxa"/>
              <w:right w:w="108" w:type="dxa"/>
            </w:tcMar>
            <w:hideMark/>
          </w:tcPr>
          <w:p w14:paraId="5E25177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2193" w:type="dxa"/>
            <w:tcBorders>
              <w:top w:val="nil"/>
              <w:left w:val="nil"/>
              <w:bottom w:val="nil"/>
              <w:right w:val="nil"/>
            </w:tcBorders>
            <w:tcMar>
              <w:top w:w="0" w:type="dxa"/>
              <w:left w:w="108" w:type="dxa"/>
              <w:bottom w:w="0" w:type="dxa"/>
              <w:right w:w="108" w:type="dxa"/>
            </w:tcMar>
            <w:hideMark/>
          </w:tcPr>
          <w:p w14:paraId="5002D40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5D47EE28" w14:textId="77777777" w:rsidTr="006E5C07">
        <w:tc>
          <w:tcPr>
            <w:tcW w:w="3436" w:type="dxa"/>
            <w:tcBorders>
              <w:top w:val="nil"/>
              <w:left w:val="nil"/>
              <w:bottom w:val="nil"/>
              <w:right w:val="nil"/>
            </w:tcBorders>
            <w:tcMar>
              <w:top w:w="0" w:type="dxa"/>
              <w:left w:w="108" w:type="dxa"/>
              <w:bottom w:w="0" w:type="dxa"/>
              <w:right w:w="108" w:type="dxa"/>
            </w:tcMar>
            <w:hideMark/>
          </w:tcPr>
          <w:p w14:paraId="6D907E57"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Cash flows from operating activities</w:t>
            </w:r>
          </w:p>
        </w:tc>
        <w:tc>
          <w:tcPr>
            <w:tcW w:w="493" w:type="dxa"/>
            <w:tcBorders>
              <w:top w:val="nil"/>
              <w:left w:val="nil"/>
              <w:bottom w:val="nil"/>
              <w:right w:val="nil"/>
            </w:tcBorders>
            <w:tcMar>
              <w:top w:w="0" w:type="dxa"/>
              <w:left w:w="108" w:type="dxa"/>
              <w:bottom w:w="0" w:type="dxa"/>
              <w:right w:w="108" w:type="dxa"/>
            </w:tcMar>
            <w:hideMark/>
          </w:tcPr>
          <w:p w14:paraId="5B4BD068" w14:textId="77777777" w:rsidR="006E5C07" w:rsidRPr="006E5C07" w:rsidRDefault="006E5C07" w:rsidP="006E5C07">
            <w:pPr>
              <w:spacing w:after="0" w:line="240" w:lineRule="auto"/>
              <w:jc w:val="center"/>
              <w:rPr>
                <w:rFonts w:ascii="Calibri" w:eastAsia="Times New Roman" w:hAnsi="Calibri" w:cs="Calibri"/>
              </w:rPr>
            </w:pPr>
          </w:p>
        </w:tc>
        <w:tc>
          <w:tcPr>
            <w:tcW w:w="2194" w:type="dxa"/>
            <w:tcBorders>
              <w:top w:val="nil"/>
              <w:left w:val="nil"/>
              <w:bottom w:val="nil"/>
              <w:right w:val="nil"/>
            </w:tcBorders>
            <w:tcMar>
              <w:top w:w="0" w:type="dxa"/>
              <w:left w:w="108" w:type="dxa"/>
              <w:bottom w:w="0" w:type="dxa"/>
              <w:right w:w="108" w:type="dxa"/>
            </w:tcMar>
            <w:hideMark/>
          </w:tcPr>
          <w:p w14:paraId="068708EA" w14:textId="77777777" w:rsidR="006E5C07" w:rsidRPr="006E5C07" w:rsidRDefault="006E5C07" w:rsidP="006E5C07">
            <w:pPr>
              <w:spacing w:after="0" w:line="240" w:lineRule="auto"/>
              <w:jc w:val="right"/>
              <w:rPr>
                <w:rFonts w:ascii="Calibri" w:eastAsia="Times New Roman" w:hAnsi="Calibri" w:cs="Calibri"/>
              </w:rPr>
            </w:pPr>
          </w:p>
        </w:tc>
        <w:tc>
          <w:tcPr>
            <w:tcW w:w="2193" w:type="dxa"/>
            <w:tcBorders>
              <w:top w:val="nil"/>
              <w:left w:val="nil"/>
              <w:bottom w:val="nil"/>
              <w:right w:val="nil"/>
            </w:tcBorders>
            <w:tcMar>
              <w:top w:w="0" w:type="dxa"/>
              <w:left w:w="108" w:type="dxa"/>
              <w:bottom w:w="0" w:type="dxa"/>
              <w:right w:w="108" w:type="dxa"/>
            </w:tcMar>
            <w:hideMark/>
          </w:tcPr>
          <w:p w14:paraId="056DB867"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2DFCF8EA" w14:textId="77777777" w:rsidTr="006E5C07">
        <w:tc>
          <w:tcPr>
            <w:tcW w:w="3436" w:type="dxa"/>
            <w:tcBorders>
              <w:top w:val="nil"/>
              <w:left w:val="nil"/>
              <w:bottom w:val="nil"/>
              <w:right w:val="nil"/>
            </w:tcBorders>
            <w:tcMar>
              <w:top w:w="0" w:type="dxa"/>
              <w:left w:w="108" w:type="dxa"/>
              <w:bottom w:w="0" w:type="dxa"/>
              <w:right w:w="108" w:type="dxa"/>
            </w:tcMar>
            <w:hideMark/>
          </w:tcPr>
          <w:p w14:paraId="2B884AD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Cash generated from operations</w:t>
            </w:r>
          </w:p>
        </w:tc>
        <w:tc>
          <w:tcPr>
            <w:tcW w:w="493" w:type="dxa"/>
            <w:tcBorders>
              <w:top w:val="nil"/>
              <w:left w:val="nil"/>
              <w:bottom w:val="nil"/>
              <w:right w:val="nil"/>
            </w:tcBorders>
            <w:tcMar>
              <w:top w:w="0" w:type="dxa"/>
              <w:left w:w="108" w:type="dxa"/>
              <w:bottom w:w="0" w:type="dxa"/>
              <w:right w:w="108" w:type="dxa"/>
            </w:tcMar>
            <w:hideMark/>
          </w:tcPr>
          <w:p w14:paraId="26AC4A44" w14:textId="77777777" w:rsidR="006E5C07" w:rsidRPr="006E5C07" w:rsidRDefault="006E5C07" w:rsidP="006E5C07">
            <w:pPr>
              <w:spacing w:after="0" w:line="240" w:lineRule="auto"/>
              <w:jc w:val="center"/>
              <w:rPr>
                <w:rFonts w:ascii="Calibri" w:eastAsia="Times New Roman" w:hAnsi="Calibri" w:cs="Calibri"/>
              </w:rPr>
            </w:pPr>
          </w:p>
        </w:tc>
        <w:tc>
          <w:tcPr>
            <w:tcW w:w="2194" w:type="dxa"/>
            <w:tcBorders>
              <w:top w:val="nil"/>
              <w:left w:val="nil"/>
              <w:bottom w:val="nil"/>
              <w:right w:val="nil"/>
            </w:tcBorders>
            <w:tcMar>
              <w:top w:w="0" w:type="dxa"/>
              <w:left w:w="108" w:type="dxa"/>
              <w:bottom w:w="0" w:type="dxa"/>
              <w:right w:w="108" w:type="dxa"/>
            </w:tcMar>
            <w:hideMark/>
          </w:tcPr>
          <w:p w14:paraId="3AA9C79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(1,185)</w:t>
            </w:r>
          </w:p>
        </w:tc>
        <w:tc>
          <w:tcPr>
            <w:tcW w:w="2193" w:type="dxa"/>
            <w:tcBorders>
              <w:top w:val="nil"/>
              <w:left w:val="nil"/>
              <w:bottom w:val="nil"/>
              <w:right w:val="nil"/>
            </w:tcBorders>
            <w:tcMar>
              <w:top w:w="0" w:type="dxa"/>
              <w:left w:w="108" w:type="dxa"/>
              <w:bottom w:w="0" w:type="dxa"/>
              <w:right w:w="108" w:type="dxa"/>
            </w:tcMar>
            <w:hideMark/>
          </w:tcPr>
          <w:p w14:paraId="1E5B41E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252</w:t>
            </w:r>
          </w:p>
        </w:tc>
      </w:tr>
      <w:tr w:rsidR="006E5C07" w:rsidRPr="006E5C07" w14:paraId="15325698" w14:textId="77777777" w:rsidTr="006E5C07">
        <w:tc>
          <w:tcPr>
            <w:tcW w:w="3436" w:type="dxa"/>
            <w:tcBorders>
              <w:top w:val="nil"/>
              <w:left w:val="nil"/>
              <w:bottom w:val="nil"/>
              <w:right w:val="nil"/>
            </w:tcBorders>
            <w:tcMar>
              <w:top w:w="0" w:type="dxa"/>
              <w:left w:w="108" w:type="dxa"/>
              <w:bottom w:w="0" w:type="dxa"/>
              <w:right w:w="108" w:type="dxa"/>
            </w:tcMar>
            <w:hideMark/>
          </w:tcPr>
          <w:p w14:paraId="5CE5FE5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Interest received - discontinued operation</w:t>
            </w:r>
          </w:p>
        </w:tc>
        <w:tc>
          <w:tcPr>
            <w:tcW w:w="493" w:type="dxa"/>
            <w:tcBorders>
              <w:top w:val="nil"/>
              <w:left w:val="nil"/>
              <w:bottom w:val="nil"/>
              <w:right w:val="nil"/>
            </w:tcBorders>
            <w:tcMar>
              <w:top w:w="0" w:type="dxa"/>
              <w:left w:w="108" w:type="dxa"/>
              <w:bottom w:w="0" w:type="dxa"/>
              <w:right w:w="108" w:type="dxa"/>
            </w:tcMar>
            <w:hideMark/>
          </w:tcPr>
          <w:p w14:paraId="7E5B9843"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12</w:t>
            </w:r>
          </w:p>
        </w:tc>
        <w:tc>
          <w:tcPr>
            <w:tcW w:w="2194" w:type="dxa"/>
            <w:tcBorders>
              <w:top w:val="nil"/>
              <w:left w:val="nil"/>
              <w:bottom w:val="nil"/>
              <w:right w:val="nil"/>
            </w:tcBorders>
            <w:tcMar>
              <w:top w:w="0" w:type="dxa"/>
              <w:left w:w="108" w:type="dxa"/>
              <w:bottom w:w="0" w:type="dxa"/>
              <w:right w:w="108" w:type="dxa"/>
            </w:tcMar>
            <w:hideMark/>
          </w:tcPr>
          <w:p w14:paraId="1AED2CD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w:t>
            </w:r>
          </w:p>
        </w:tc>
        <w:tc>
          <w:tcPr>
            <w:tcW w:w="2193" w:type="dxa"/>
            <w:tcBorders>
              <w:top w:val="nil"/>
              <w:left w:val="nil"/>
              <w:bottom w:val="nil"/>
              <w:right w:val="nil"/>
            </w:tcBorders>
            <w:tcMar>
              <w:top w:w="0" w:type="dxa"/>
              <w:left w:w="108" w:type="dxa"/>
              <w:bottom w:w="0" w:type="dxa"/>
              <w:right w:w="108" w:type="dxa"/>
            </w:tcMar>
            <w:hideMark/>
          </w:tcPr>
          <w:p w14:paraId="17DD05C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w:t>
            </w:r>
          </w:p>
        </w:tc>
      </w:tr>
      <w:tr w:rsidR="006E5C07" w:rsidRPr="006E5C07" w14:paraId="42C26443" w14:textId="77777777" w:rsidTr="006E5C07">
        <w:tc>
          <w:tcPr>
            <w:tcW w:w="3436" w:type="dxa"/>
            <w:tcBorders>
              <w:top w:val="nil"/>
              <w:left w:val="nil"/>
              <w:bottom w:val="nil"/>
              <w:right w:val="nil"/>
            </w:tcBorders>
            <w:tcMar>
              <w:top w:w="0" w:type="dxa"/>
              <w:left w:w="108" w:type="dxa"/>
              <w:bottom w:w="0" w:type="dxa"/>
              <w:right w:w="108" w:type="dxa"/>
            </w:tcMar>
            <w:hideMark/>
          </w:tcPr>
          <w:p w14:paraId="4730AF67"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Interest paid</w:t>
            </w:r>
          </w:p>
        </w:tc>
        <w:tc>
          <w:tcPr>
            <w:tcW w:w="493" w:type="dxa"/>
            <w:tcBorders>
              <w:top w:val="nil"/>
              <w:left w:val="nil"/>
              <w:bottom w:val="nil"/>
              <w:right w:val="nil"/>
            </w:tcBorders>
            <w:tcMar>
              <w:top w:w="0" w:type="dxa"/>
              <w:left w:w="108" w:type="dxa"/>
              <w:bottom w:w="0" w:type="dxa"/>
              <w:right w:w="108" w:type="dxa"/>
            </w:tcMar>
            <w:hideMark/>
          </w:tcPr>
          <w:p w14:paraId="31C5E660"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9</w:t>
            </w:r>
          </w:p>
        </w:tc>
        <w:tc>
          <w:tcPr>
            <w:tcW w:w="2194" w:type="dxa"/>
            <w:tcBorders>
              <w:top w:val="nil"/>
              <w:left w:val="nil"/>
              <w:bottom w:val="nil"/>
              <w:right w:val="nil"/>
            </w:tcBorders>
            <w:tcMar>
              <w:top w:w="0" w:type="dxa"/>
              <w:left w:w="108" w:type="dxa"/>
              <w:bottom w:w="0" w:type="dxa"/>
              <w:right w:w="108" w:type="dxa"/>
            </w:tcMar>
            <w:hideMark/>
          </w:tcPr>
          <w:p w14:paraId="1023B03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(27)</w:t>
            </w:r>
          </w:p>
        </w:tc>
        <w:tc>
          <w:tcPr>
            <w:tcW w:w="2193" w:type="dxa"/>
            <w:tcBorders>
              <w:top w:val="nil"/>
              <w:left w:val="nil"/>
              <w:bottom w:val="nil"/>
              <w:right w:val="nil"/>
            </w:tcBorders>
            <w:tcMar>
              <w:top w:w="0" w:type="dxa"/>
              <w:left w:w="108" w:type="dxa"/>
              <w:bottom w:w="0" w:type="dxa"/>
              <w:right w:w="108" w:type="dxa"/>
            </w:tcMar>
            <w:hideMark/>
          </w:tcPr>
          <w:p w14:paraId="442B0DE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(23)</w:t>
            </w:r>
          </w:p>
        </w:tc>
      </w:tr>
      <w:tr w:rsidR="006E5C07" w:rsidRPr="006E5C07" w14:paraId="174128A4" w14:textId="77777777" w:rsidTr="006E5C07">
        <w:tc>
          <w:tcPr>
            <w:tcW w:w="3436" w:type="dxa"/>
            <w:tcBorders>
              <w:top w:val="nil"/>
              <w:left w:val="nil"/>
              <w:bottom w:val="nil"/>
              <w:right w:val="nil"/>
            </w:tcBorders>
            <w:tcMar>
              <w:top w:w="0" w:type="dxa"/>
              <w:left w:w="108" w:type="dxa"/>
              <w:bottom w:w="0" w:type="dxa"/>
              <w:right w:w="108" w:type="dxa"/>
            </w:tcMar>
            <w:hideMark/>
          </w:tcPr>
          <w:p w14:paraId="368D4165"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Taxation</w:t>
            </w:r>
          </w:p>
        </w:tc>
        <w:tc>
          <w:tcPr>
            <w:tcW w:w="493" w:type="dxa"/>
            <w:tcBorders>
              <w:top w:val="nil"/>
              <w:left w:val="nil"/>
              <w:bottom w:val="nil"/>
              <w:right w:val="nil"/>
            </w:tcBorders>
            <w:tcMar>
              <w:top w:w="0" w:type="dxa"/>
              <w:left w:w="108" w:type="dxa"/>
              <w:bottom w:w="0" w:type="dxa"/>
              <w:right w:w="108" w:type="dxa"/>
            </w:tcMar>
            <w:hideMark/>
          </w:tcPr>
          <w:p w14:paraId="64129E79" w14:textId="77777777" w:rsidR="006E5C07" w:rsidRPr="006E5C07" w:rsidRDefault="006E5C07" w:rsidP="006E5C07">
            <w:pPr>
              <w:spacing w:after="0" w:line="240" w:lineRule="auto"/>
              <w:jc w:val="center"/>
              <w:rPr>
                <w:rFonts w:ascii="Calibri" w:eastAsia="Times New Roman" w:hAnsi="Calibri" w:cs="Calibri"/>
              </w:rPr>
            </w:pPr>
          </w:p>
        </w:tc>
        <w:tc>
          <w:tcPr>
            <w:tcW w:w="2194" w:type="dxa"/>
            <w:tcBorders>
              <w:top w:val="nil"/>
              <w:left w:val="nil"/>
              <w:bottom w:val="nil"/>
              <w:right w:val="nil"/>
            </w:tcBorders>
            <w:tcMar>
              <w:top w:w="0" w:type="dxa"/>
              <w:left w:w="108" w:type="dxa"/>
              <w:bottom w:w="0" w:type="dxa"/>
              <w:right w:w="108" w:type="dxa"/>
            </w:tcMar>
            <w:hideMark/>
          </w:tcPr>
          <w:p w14:paraId="39567F8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57</w:t>
            </w:r>
          </w:p>
        </w:tc>
        <w:tc>
          <w:tcPr>
            <w:tcW w:w="2193" w:type="dxa"/>
            <w:tcBorders>
              <w:top w:val="nil"/>
              <w:left w:val="nil"/>
              <w:bottom w:val="nil"/>
              <w:right w:val="nil"/>
            </w:tcBorders>
            <w:tcMar>
              <w:top w:w="0" w:type="dxa"/>
              <w:left w:w="108" w:type="dxa"/>
              <w:bottom w:w="0" w:type="dxa"/>
              <w:right w:w="108" w:type="dxa"/>
            </w:tcMar>
            <w:hideMark/>
          </w:tcPr>
          <w:p w14:paraId="4667CD7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(262)</w:t>
            </w:r>
          </w:p>
        </w:tc>
      </w:tr>
      <w:tr w:rsidR="006E5C07" w:rsidRPr="006E5C07" w14:paraId="2F8351C3" w14:textId="77777777" w:rsidTr="006E5C07">
        <w:tc>
          <w:tcPr>
            <w:tcW w:w="3436" w:type="dxa"/>
            <w:tcBorders>
              <w:top w:val="nil"/>
              <w:left w:val="nil"/>
              <w:bottom w:val="nil"/>
              <w:right w:val="nil"/>
            </w:tcBorders>
            <w:tcMar>
              <w:top w:w="0" w:type="dxa"/>
              <w:left w:w="108" w:type="dxa"/>
              <w:bottom w:w="0" w:type="dxa"/>
              <w:right w:w="108" w:type="dxa"/>
            </w:tcMar>
            <w:hideMark/>
          </w:tcPr>
          <w:p w14:paraId="39C0E515"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Net cash outflow from operating</w:t>
            </w:r>
          </w:p>
        </w:tc>
        <w:tc>
          <w:tcPr>
            <w:tcW w:w="493" w:type="dxa"/>
            <w:tcBorders>
              <w:top w:val="nil"/>
              <w:left w:val="nil"/>
              <w:bottom w:val="nil"/>
              <w:right w:val="nil"/>
            </w:tcBorders>
            <w:tcMar>
              <w:top w:w="0" w:type="dxa"/>
              <w:left w:w="108" w:type="dxa"/>
              <w:bottom w:w="0" w:type="dxa"/>
              <w:right w:w="108" w:type="dxa"/>
            </w:tcMar>
            <w:hideMark/>
          </w:tcPr>
          <w:p w14:paraId="382137BD" w14:textId="77777777" w:rsidR="006E5C07" w:rsidRPr="006E5C07" w:rsidRDefault="006E5C07" w:rsidP="006E5C07">
            <w:pPr>
              <w:spacing w:after="0" w:line="240" w:lineRule="auto"/>
              <w:jc w:val="center"/>
              <w:rPr>
                <w:rFonts w:ascii="Calibri" w:eastAsia="Times New Roman" w:hAnsi="Calibri" w:cs="Calibri"/>
              </w:rPr>
            </w:pPr>
          </w:p>
        </w:tc>
        <w:tc>
          <w:tcPr>
            <w:tcW w:w="2194" w:type="dxa"/>
            <w:tcBorders>
              <w:top w:val="single" w:sz="8" w:space="0" w:color="auto"/>
              <w:left w:val="nil"/>
              <w:bottom w:val="nil"/>
              <w:right w:val="nil"/>
            </w:tcBorders>
            <w:tcMar>
              <w:top w:w="0" w:type="dxa"/>
              <w:left w:w="108" w:type="dxa"/>
              <w:bottom w:w="0" w:type="dxa"/>
              <w:right w:w="108" w:type="dxa"/>
            </w:tcMar>
            <w:hideMark/>
          </w:tcPr>
          <w:p w14:paraId="6D6410B8"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(1,149)</w:t>
            </w:r>
          </w:p>
        </w:tc>
        <w:tc>
          <w:tcPr>
            <w:tcW w:w="2193" w:type="dxa"/>
            <w:tcBorders>
              <w:top w:val="single" w:sz="8" w:space="0" w:color="auto"/>
              <w:left w:val="nil"/>
              <w:bottom w:val="nil"/>
              <w:right w:val="nil"/>
            </w:tcBorders>
            <w:tcMar>
              <w:top w:w="0" w:type="dxa"/>
              <w:left w:w="108" w:type="dxa"/>
              <w:bottom w:w="0" w:type="dxa"/>
              <w:right w:w="108" w:type="dxa"/>
            </w:tcMar>
            <w:hideMark/>
          </w:tcPr>
          <w:p w14:paraId="32E2527D"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(29)</w:t>
            </w:r>
          </w:p>
        </w:tc>
      </w:tr>
      <w:tr w:rsidR="006E5C07" w:rsidRPr="006E5C07" w14:paraId="69871818" w14:textId="77777777" w:rsidTr="006E5C07">
        <w:tc>
          <w:tcPr>
            <w:tcW w:w="3436" w:type="dxa"/>
            <w:tcBorders>
              <w:top w:val="nil"/>
              <w:left w:val="nil"/>
              <w:bottom w:val="nil"/>
              <w:right w:val="nil"/>
            </w:tcBorders>
            <w:tcMar>
              <w:top w:w="0" w:type="dxa"/>
              <w:left w:w="108" w:type="dxa"/>
              <w:bottom w:w="0" w:type="dxa"/>
              <w:right w:w="108" w:type="dxa"/>
            </w:tcMar>
            <w:hideMark/>
          </w:tcPr>
          <w:p w14:paraId="5BE48333"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activities</w:t>
            </w:r>
          </w:p>
        </w:tc>
        <w:tc>
          <w:tcPr>
            <w:tcW w:w="493" w:type="dxa"/>
            <w:tcBorders>
              <w:top w:val="nil"/>
              <w:left w:val="nil"/>
              <w:bottom w:val="nil"/>
              <w:right w:val="nil"/>
            </w:tcBorders>
            <w:tcMar>
              <w:top w:w="0" w:type="dxa"/>
              <w:left w:w="108" w:type="dxa"/>
              <w:bottom w:w="0" w:type="dxa"/>
              <w:right w:w="108" w:type="dxa"/>
            </w:tcMar>
            <w:hideMark/>
          </w:tcPr>
          <w:p w14:paraId="688A21CD" w14:textId="77777777" w:rsidR="006E5C07" w:rsidRPr="006E5C07" w:rsidRDefault="006E5C07" w:rsidP="006E5C07">
            <w:pPr>
              <w:spacing w:after="0" w:line="240" w:lineRule="auto"/>
              <w:jc w:val="center"/>
              <w:rPr>
                <w:rFonts w:ascii="Calibri" w:eastAsia="Times New Roman" w:hAnsi="Calibri" w:cs="Calibri"/>
              </w:rPr>
            </w:pPr>
          </w:p>
        </w:tc>
        <w:tc>
          <w:tcPr>
            <w:tcW w:w="2194" w:type="dxa"/>
            <w:tcBorders>
              <w:top w:val="nil"/>
              <w:left w:val="nil"/>
              <w:bottom w:val="single" w:sz="8" w:space="0" w:color="auto"/>
              <w:right w:val="nil"/>
            </w:tcBorders>
            <w:tcMar>
              <w:top w:w="0" w:type="dxa"/>
              <w:left w:w="108" w:type="dxa"/>
              <w:bottom w:w="0" w:type="dxa"/>
              <w:right w:w="108" w:type="dxa"/>
            </w:tcMar>
            <w:hideMark/>
          </w:tcPr>
          <w:p w14:paraId="163FB35B" w14:textId="77777777" w:rsidR="006E5C07" w:rsidRPr="006E5C07" w:rsidRDefault="006E5C07" w:rsidP="006E5C07">
            <w:pPr>
              <w:spacing w:after="0" w:line="240" w:lineRule="auto"/>
              <w:jc w:val="right"/>
              <w:rPr>
                <w:rFonts w:ascii="Calibri" w:eastAsia="Times New Roman" w:hAnsi="Calibri" w:cs="Calibri"/>
                <w:b/>
                <w:bCs/>
              </w:rPr>
            </w:pPr>
          </w:p>
        </w:tc>
        <w:tc>
          <w:tcPr>
            <w:tcW w:w="2193" w:type="dxa"/>
            <w:tcBorders>
              <w:top w:val="nil"/>
              <w:left w:val="nil"/>
              <w:bottom w:val="single" w:sz="8" w:space="0" w:color="auto"/>
              <w:right w:val="nil"/>
            </w:tcBorders>
            <w:tcMar>
              <w:top w:w="0" w:type="dxa"/>
              <w:left w:w="108" w:type="dxa"/>
              <w:bottom w:w="0" w:type="dxa"/>
              <w:right w:w="108" w:type="dxa"/>
            </w:tcMar>
            <w:hideMark/>
          </w:tcPr>
          <w:p w14:paraId="24D06388"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4AD486FB" w14:textId="77777777" w:rsidTr="006E5C07">
        <w:tc>
          <w:tcPr>
            <w:tcW w:w="3436" w:type="dxa"/>
            <w:tcBorders>
              <w:top w:val="nil"/>
              <w:left w:val="nil"/>
              <w:bottom w:val="nil"/>
              <w:right w:val="nil"/>
            </w:tcBorders>
            <w:tcMar>
              <w:top w:w="0" w:type="dxa"/>
              <w:left w:w="108" w:type="dxa"/>
              <w:bottom w:w="0" w:type="dxa"/>
              <w:right w:w="108" w:type="dxa"/>
            </w:tcMar>
            <w:hideMark/>
          </w:tcPr>
          <w:p w14:paraId="7EB439B1" w14:textId="77777777" w:rsidR="006E5C07" w:rsidRPr="006E5C07" w:rsidRDefault="006E5C07" w:rsidP="006E5C07">
            <w:pPr>
              <w:spacing w:after="0" w:line="240" w:lineRule="auto"/>
              <w:rPr>
                <w:rFonts w:ascii="Calibri" w:eastAsia="Times New Roman" w:hAnsi="Calibri" w:cs="Calibri"/>
              </w:rPr>
            </w:pPr>
          </w:p>
        </w:tc>
        <w:tc>
          <w:tcPr>
            <w:tcW w:w="493" w:type="dxa"/>
            <w:tcBorders>
              <w:top w:val="nil"/>
              <w:left w:val="nil"/>
              <w:bottom w:val="nil"/>
              <w:right w:val="nil"/>
            </w:tcBorders>
            <w:tcMar>
              <w:top w:w="0" w:type="dxa"/>
              <w:left w:w="108" w:type="dxa"/>
              <w:bottom w:w="0" w:type="dxa"/>
              <w:right w:w="108" w:type="dxa"/>
            </w:tcMar>
            <w:hideMark/>
          </w:tcPr>
          <w:p w14:paraId="6316277F" w14:textId="77777777" w:rsidR="006E5C07" w:rsidRPr="006E5C07" w:rsidRDefault="006E5C07" w:rsidP="006E5C07">
            <w:pPr>
              <w:spacing w:after="0" w:line="240" w:lineRule="auto"/>
              <w:jc w:val="center"/>
              <w:rPr>
                <w:rFonts w:ascii="Calibri" w:eastAsia="Times New Roman" w:hAnsi="Calibri" w:cs="Calibri"/>
              </w:rPr>
            </w:pPr>
          </w:p>
        </w:tc>
        <w:tc>
          <w:tcPr>
            <w:tcW w:w="2194" w:type="dxa"/>
            <w:tcBorders>
              <w:top w:val="nil"/>
              <w:left w:val="nil"/>
              <w:bottom w:val="nil"/>
              <w:right w:val="nil"/>
            </w:tcBorders>
            <w:tcMar>
              <w:top w:w="0" w:type="dxa"/>
              <w:left w:w="108" w:type="dxa"/>
              <w:bottom w:w="0" w:type="dxa"/>
              <w:right w:w="108" w:type="dxa"/>
            </w:tcMar>
            <w:hideMark/>
          </w:tcPr>
          <w:p w14:paraId="63F61810" w14:textId="77777777" w:rsidR="006E5C07" w:rsidRPr="006E5C07" w:rsidRDefault="006E5C07" w:rsidP="006E5C07">
            <w:pPr>
              <w:spacing w:after="0" w:line="240" w:lineRule="auto"/>
              <w:jc w:val="right"/>
              <w:rPr>
                <w:rFonts w:ascii="Calibri" w:eastAsia="Times New Roman" w:hAnsi="Calibri" w:cs="Calibri"/>
              </w:rPr>
            </w:pPr>
          </w:p>
        </w:tc>
        <w:tc>
          <w:tcPr>
            <w:tcW w:w="2193" w:type="dxa"/>
            <w:tcBorders>
              <w:top w:val="nil"/>
              <w:left w:val="nil"/>
              <w:bottom w:val="nil"/>
              <w:right w:val="nil"/>
            </w:tcBorders>
            <w:tcMar>
              <w:top w:w="0" w:type="dxa"/>
              <w:left w:w="108" w:type="dxa"/>
              <w:bottom w:w="0" w:type="dxa"/>
              <w:right w:w="108" w:type="dxa"/>
            </w:tcMar>
            <w:hideMark/>
          </w:tcPr>
          <w:p w14:paraId="73061159"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6DD133E6" w14:textId="77777777" w:rsidTr="006E5C07">
        <w:tc>
          <w:tcPr>
            <w:tcW w:w="3436" w:type="dxa"/>
            <w:tcBorders>
              <w:top w:val="nil"/>
              <w:left w:val="nil"/>
              <w:bottom w:val="nil"/>
              <w:right w:val="nil"/>
            </w:tcBorders>
            <w:tcMar>
              <w:top w:w="0" w:type="dxa"/>
              <w:left w:w="108" w:type="dxa"/>
              <w:bottom w:w="0" w:type="dxa"/>
              <w:right w:w="108" w:type="dxa"/>
            </w:tcMar>
            <w:hideMark/>
          </w:tcPr>
          <w:p w14:paraId="564B2A91"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Cash flows from investing activities</w:t>
            </w:r>
          </w:p>
        </w:tc>
        <w:tc>
          <w:tcPr>
            <w:tcW w:w="493" w:type="dxa"/>
            <w:tcBorders>
              <w:top w:val="nil"/>
              <w:left w:val="nil"/>
              <w:bottom w:val="nil"/>
              <w:right w:val="nil"/>
            </w:tcBorders>
            <w:tcMar>
              <w:top w:w="0" w:type="dxa"/>
              <w:left w:w="108" w:type="dxa"/>
              <w:bottom w:w="0" w:type="dxa"/>
              <w:right w:w="108" w:type="dxa"/>
            </w:tcMar>
            <w:hideMark/>
          </w:tcPr>
          <w:p w14:paraId="1CACDF49" w14:textId="77777777" w:rsidR="006E5C07" w:rsidRPr="006E5C07" w:rsidRDefault="006E5C07" w:rsidP="006E5C07">
            <w:pPr>
              <w:spacing w:after="0" w:line="240" w:lineRule="auto"/>
              <w:jc w:val="center"/>
              <w:rPr>
                <w:rFonts w:ascii="Calibri" w:eastAsia="Times New Roman" w:hAnsi="Calibri" w:cs="Calibri"/>
              </w:rPr>
            </w:pPr>
          </w:p>
        </w:tc>
        <w:tc>
          <w:tcPr>
            <w:tcW w:w="2194" w:type="dxa"/>
            <w:tcBorders>
              <w:top w:val="nil"/>
              <w:left w:val="nil"/>
              <w:bottom w:val="nil"/>
              <w:right w:val="nil"/>
            </w:tcBorders>
            <w:tcMar>
              <w:top w:w="0" w:type="dxa"/>
              <w:left w:w="108" w:type="dxa"/>
              <w:bottom w:w="0" w:type="dxa"/>
              <w:right w:w="108" w:type="dxa"/>
            </w:tcMar>
            <w:hideMark/>
          </w:tcPr>
          <w:p w14:paraId="2EFEA87F" w14:textId="77777777" w:rsidR="006E5C07" w:rsidRPr="006E5C07" w:rsidRDefault="006E5C07" w:rsidP="006E5C07">
            <w:pPr>
              <w:spacing w:after="0" w:line="240" w:lineRule="auto"/>
              <w:jc w:val="right"/>
              <w:rPr>
                <w:rFonts w:ascii="Calibri" w:eastAsia="Times New Roman" w:hAnsi="Calibri" w:cs="Calibri"/>
              </w:rPr>
            </w:pPr>
          </w:p>
        </w:tc>
        <w:tc>
          <w:tcPr>
            <w:tcW w:w="2193" w:type="dxa"/>
            <w:tcBorders>
              <w:top w:val="nil"/>
              <w:left w:val="nil"/>
              <w:bottom w:val="nil"/>
              <w:right w:val="nil"/>
            </w:tcBorders>
            <w:tcMar>
              <w:top w:w="0" w:type="dxa"/>
              <w:left w:w="108" w:type="dxa"/>
              <w:bottom w:w="0" w:type="dxa"/>
              <w:right w:w="108" w:type="dxa"/>
            </w:tcMar>
            <w:hideMark/>
          </w:tcPr>
          <w:p w14:paraId="7A92D3B8"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08033B5D" w14:textId="77777777" w:rsidTr="006E5C07">
        <w:tc>
          <w:tcPr>
            <w:tcW w:w="3436" w:type="dxa"/>
            <w:tcBorders>
              <w:top w:val="nil"/>
              <w:left w:val="nil"/>
              <w:bottom w:val="nil"/>
              <w:right w:val="nil"/>
            </w:tcBorders>
            <w:tcMar>
              <w:top w:w="0" w:type="dxa"/>
              <w:left w:w="108" w:type="dxa"/>
              <w:bottom w:w="0" w:type="dxa"/>
              <w:right w:w="108" w:type="dxa"/>
            </w:tcMar>
            <w:hideMark/>
          </w:tcPr>
          <w:p w14:paraId="0DC0FAB7"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Purchase of intangible assets</w:t>
            </w:r>
          </w:p>
        </w:tc>
        <w:tc>
          <w:tcPr>
            <w:tcW w:w="493" w:type="dxa"/>
            <w:tcBorders>
              <w:top w:val="nil"/>
              <w:left w:val="nil"/>
              <w:bottom w:val="nil"/>
              <w:right w:val="nil"/>
            </w:tcBorders>
            <w:tcMar>
              <w:top w:w="0" w:type="dxa"/>
              <w:left w:w="108" w:type="dxa"/>
              <w:bottom w:w="0" w:type="dxa"/>
              <w:right w:w="108" w:type="dxa"/>
            </w:tcMar>
            <w:hideMark/>
          </w:tcPr>
          <w:p w14:paraId="3F5EF135"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15</w:t>
            </w:r>
          </w:p>
        </w:tc>
        <w:tc>
          <w:tcPr>
            <w:tcW w:w="2194" w:type="dxa"/>
            <w:tcBorders>
              <w:top w:val="nil"/>
              <w:left w:val="nil"/>
              <w:bottom w:val="nil"/>
              <w:right w:val="nil"/>
            </w:tcBorders>
            <w:tcMar>
              <w:top w:w="0" w:type="dxa"/>
              <w:left w:w="108" w:type="dxa"/>
              <w:bottom w:w="0" w:type="dxa"/>
              <w:right w:w="108" w:type="dxa"/>
            </w:tcMar>
            <w:hideMark/>
          </w:tcPr>
          <w:p w14:paraId="385856F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2193" w:type="dxa"/>
            <w:tcBorders>
              <w:top w:val="nil"/>
              <w:left w:val="nil"/>
              <w:bottom w:val="nil"/>
              <w:right w:val="nil"/>
            </w:tcBorders>
            <w:tcMar>
              <w:top w:w="0" w:type="dxa"/>
              <w:left w:w="108" w:type="dxa"/>
              <w:bottom w:w="0" w:type="dxa"/>
              <w:right w:w="108" w:type="dxa"/>
            </w:tcMar>
            <w:hideMark/>
          </w:tcPr>
          <w:p w14:paraId="300D445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w:t>
            </w:r>
          </w:p>
        </w:tc>
      </w:tr>
      <w:tr w:rsidR="006E5C07" w:rsidRPr="006E5C07" w14:paraId="3A73AD87" w14:textId="77777777" w:rsidTr="006E5C07">
        <w:tc>
          <w:tcPr>
            <w:tcW w:w="3436" w:type="dxa"/>
            <w:tcBorders>
              <w:top w:val="nil"/>
              <w:left w:val="nil"/>
              <w:bottom w:val="nil"/>
              <w:right w:val="nil"/>
            </w:tcBorders>
            <w:tcMar>
              <w:top w:w="0" w:type="dxa"/>
              <w:left w:w="108" w:type="dxa"/>
              <w:bottom w:w="0" w:type="dxa"/>
              <w:right w:w="108" w:type="dxa"/>
            </w:tcMar>
            <w:hideMark/>
          </w:tcPr>
          <w:p w14:paraId="7F090106"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Purchase of property, plant &amp; equipment</w:t>
            </w:r>
          </w:p>
        </w:tc>
        <w:tc>
          <w:tcPr>
            <w:tcW w:w="493" w:type="dxa"/>
            <w:tcBorders>
              <w:top w:val="nil"/>
              <w:left w:val="nil"/>
              <w:bottom w:val="nil"/>
              <w:right w:val="nil"/>
            </w:tcBorders>
            <w:tcMar>
              <w:top w:w="0" w:type="dxa"/>
              <w:left w:w="108" w:type="dxa"/>
              <w:bottom w:w="0" w:type="dxa"/>
              <w:right w:w="108" w:type="dxa"/>
            </w:tcMar>
            <w:hideMark/>
          </w:tcPr>
          <w:p w14:paraId="177943C2"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16</w:t>
            </w:r>
          </w:p>
        </w:tc>
        <w:tc>
          <w:tcPr>
            <w:tcW w:w="2194" w:type="dxa"/>
            <w:tcBorders>
              <w:top w:val="nil"/>
              <w:left w:val="nil"/>
              <w:bottom w:val="nil"/>
              <w:right w:val="nil"/>
            </w:tcBorders>
            <w:tcMar>
              <w:top w:w="0" w:type="dxa"/>
              <w:left w:w="108" w:type="dxa"/>
              <w:bottom w:w="0" w:type="dxa"/>
              <w:right w:w="108" w:type="dxa"/>
            </w:tcMar>
            <w:hideMark/>
          </w:tcPr>
          <w:p w14:paraId="222937A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(32)</w:t>
            </w:r>
          </w:p>
        </w:tc>
        <w:tc>
          <w:tcPr>
            <w:tcW w:w="2193" w:type="dxa"/>
            <w:tcBorders>
              <w:top w:val="nil"/>
              <w:left w:val="nil"/>
              <w:bottom w:val="nil"/>
              <w:right w:val="nil"/>
            </w:tcBorders>
            <w:tcMar>
              <w:top w:w="0" w:type="dxa"/>
              <w:left w:w="108" w:type="dxa"/>
              <w:bottom w:w="0" w:type="dxa"/>
              <w:right w:w="108" w:type="dxa"/>
            </w:tcMar>
            <w:hideMark/>
          </w:tcPr>
          <w:p w14:paraId="2247E04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(47)</w:t>
            </w:r>
          </w:p>
        </w:tc>
      </w:tr>
      <w:tr w:rsidR="006E5C07" w:rsidRPr="006E5C07" w14:paraId="4A7DCA58" w14:textId="77777777" w:rsidTr="006E5C07">
        <w:tc>
          <w:tcPr>
            <w:tcW w:w="3436" w:type="dxa"/>
            <w:tcBorders>
              <w:top w:val="nil"/>
              <w:left w:val="nil"/>
              <w:bottom w:val="nil"/>
              <w:right w:val="nil"/>
            </w:tcBorders>
            <w:tcMar>
              <w:top w:w="0" w:type="dxa"/>
              <w:left w:w="108" w:type="dxa"/>
              <w:bottom w:w="0" w:type="dxa"/>
              <w:right w:w="108" w:type="dxa"/>
            </w:tcMar>
            <w:hideMark/>
          </w:tcPr>
          <w:p w14:paraId="02D4F48E"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Net cash outflow from investing</w:t>
            </w:r>
          </w:p>
        </w:tc>
        <w:tc>
          <w:tcPr>
            <w:tcW w:w="493" w:type="dxa"/>
            <w:tcBorders>
              <w:top w:val="nil"/>
              <w:left w:val="nil"/>
              <w:bottom w:val="nil"/>
              <w:right w:val="nil"/>
            </w:tcBorders>
            <w:tcMar>
              <w:top w:w="0" w:type="dxa"/>
              <w:left w:w="108" w:type="dxa"/>
              <w:bottom w:w="0" w:type="dxa"/>
              <w:right w:w="108" w:type="dxa"/>
            </w:tcMar>
            <w:hideMark/>
          </w:tcPr>
          <w:p w14:paraId="3EB69D44" w14:textId="77777777" w:rsidR="006E5C07" w:rsidRPr="006E5C07" w:rsidRDefault="006E5C07" w:rsidP="006E5C07">
            <w:pPr>
              <w:spacing w:after="0" w:line="240" w:lineRule="auto"/>
              <w:jc w:val="center"/>
              <w:rPr>
                <w:rFonts w:ascii="Calibri" w:eastAsia="Times New Roman" w:hAnsi="Calibri" w:cs="Calibri"/>
              </w:rPr>
            </w:pPr>
          </w:p>
        </w:tc>
        <w:tc>
          <w:tcPr>
            <w:tcW w:w="2194" w:type="dxa"/>
            <w:tcBorders>
              <w:top w:val="single" w:sz="8" w:space="0" w:color="auto"/>
              <w:left w:val="nil"/>
              <w:bottom w:val="nil"/>
              <w:right w:val="nil"/>
            </w:tcBorders>
            <w:tcMar>
              <w:top w:w="0" w:type="dxa"/>
              <w:left w:w="108" w:type="dxa"/>
              <w:bottom w:w="0" w:type="dxa"/>
              <w:right w:w="108" w:type="dxa"/>
            </w:tcMar>
            <w:hideMark/>
          </w:tcPr>
          <w:p w14:paraId="7EBBFD96"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(32)</w:t>
            </w:r>
          </w:p>
        </w:tc>
        <w:tc>
          <w:tcPr>
            <w:tcW w:w="2193" w:type="dxa"/>
            <w:tcBorders>
              <w:top w:val="single" w:sz="8" w:space="0" w:color="auto"/>
              <w:left w:val="nil"/>
              <w:bottom w:val="nil"/>
              <w:right w:val="nil"/>
            </w:tcBorders>
            <w:tcMar>
              <w:top w:w="0" w:type="dxa"/>
              <w:left w:w="108" w:type="dxa"/>
              <w:bottom w:w="0" w:type="dxa"/>
              <w:right w:w="108" w:type="dxa"/>
            </w:tcMar>
            <w:hideMark/>
          </w:tcPr>
          <w:p w14:paraId="0CFC6A11"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(48)</w:t>
            </w:r>
          </w:p>
        </w:tc>
      </w:tr>
      <w:tr w:rsidR="006E5C07" w:rsidRPr="006E5C07" w14:paraId="02D731D6" w14:textId="77777777" w:rsidTr="006E5C07">
        <w:tc>
          <w:tcPr>
            <w:tcW w:w="3436" w:type="dxa"/>
            <w:tcBorders>
              <w:top w:val="nil"/>
              <w:left w:val="nil"/>
              <w:bottom w:val="nil"/>
              <w:right w:val="nil"/>
            </w:tcBorders>
            <w:tcMar>
              <w:top w:w="0" w:type="dxa"/>
              <w:left w:w="108" w:type="dxa"/>
              <w:bottom w:w="0" w:type="dxa"/>
              <w:right w:w="108" w:type="dxa"/>
            </w:tcMar>
            <w:hideMark/>
          </w:tcPr>
          <w:p w14:paraId="56C86656"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activities</w:t>
            </w:r>
          </w:p>
        </w:tc>
        <w:tc>
          <w:tcPr>
            <w:tcW w:w="493" w:type="dxa"/>
            <w:tcBorders>
              <w:top w:val="nil"/>
              <w:left w:val="nil"/>
              <w:bottom w:val="nil"/>
              <w:right w:val="nil"/>
            </w:tcBorders>
            <w:tcMar>
              <w:top w:w="0" w:type="dxa"/>
              <w:left w:w="108" w:type="dxa"/>
              <w:bottom w:w="0" w:type="dxa"/>
              <w:right w:w="108" w:type="dxa"/>
            </w:tcMar>
            <w:hideMark/>
          </w:tcPr>
          <w:p w14:paraId="610ADF4F" w14:textId="77777777" w:rsidR="006E5C07" w:rsidRPr="006E5C07" w:rsidRDefault="006E5C07" w:rsidP="006E5C07">
            <w:pPr>
              <w:spacing w:after="0" w:line="240" w:lineRule="auto"/>
              <w:jc w:val="center"/>
              <w:rPr>
                <w:rFonts w:ascii="Calibri" w:eastAsia="Times New Roman" w:hAnsi="Calibri" w:cs="Calibri"/>
              </w:rPr>
            </w:pPr>
          </w:p>
        </w:tc>
        <w:tc>
          <w:tcPr>
            <w:tcW w:w="2194" w:type="dxa"/>
            <w:tcBorders>
              <w:top w:val="nil"/>
              <w:left w:val="nil"/>
              <w:bottom w:val="single" w:sz="8" w:space="0" w:color="auto"/>
              <w:right w:val="nil"/>
            </w:tcBorders>
            <w:tcMar>
              <w:top w:w="0" w:type="dxa"/>
              <w:left w:w="108" w:type="dxa"/>
              <w:bottom w:w="0" w:type="dxa"/>
              <w:right w:w="108" w:type="dxa"/>
            </w:tcMar>
            <w:hideMark/>
          </w:tcPr>
          <w:p w14:paraId="7925D361" w14:textId="77777777" w:rsidR="006E5C07" w:rsidRPr="006E5C07" w:rsidRDefault="006E5C07" w:rsidP="006E5C07">
            <w:pPr>
              <w:spacing w:after="0" w:line="240" w:lineRule="auto"/>
              <w:jc w:val="right"/>
              <w:rPr>
                <w:rFonts w:ascii="Calibri" w:eastAsia="Times New Roman" w:hAnsi="Calibri" w:cs="Calibri"/>
                <w:b/>
                <w:bCs/>
              </w:rPr>
            </w:pPr>
          </w:p>
        </w:tc>
        <w:tc>
          <w:tcPr>
            <w:tcW w:w="2193" w:type="dxa"/>
            <w:tcBorders>
              <w:top w:val="nil"/>
              <w:left w:val="nil"/>
              <w:bottom w:val="single" w:sz="8" w:space="0" w:color="auto"/>
              <w:right w:val="nil"/>
            </w:tcBorders>
            <w:tcMar>
              <w:top w:w="0" w:type="dxa"/>
              <w:left w:w="108" w:type="dxa"/>
              <w:bottom w:w="0" w:type="dxa"/>
              <w:right w:w="108" w:type="dxa"/>
            </w:tcMar>
            <w:hideMark/>
          </w:tcPr>
          <w:p w14:paraId="3B2B2FD7"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6F4CD188" w14:textId="77777777" w:rsidTr="006E5C07">
        <w:tc>
          <w:tcPr>
            <w:tcW w:w="3436" w:type="dxa"/>
            <w:tcBorders>
              <w:top w:val="nil"/>
              <w:left w:val="nil"/>
              <w:bottom w:val="nil"/>
              <w:right w:val="nil"/>
            </w:tcBorders>
            <w:tcMar>
              <w:top w:w="0" w:type="dxa"/>
              <w:left w:w="108" w:type="dxa"/>
              <w:bottom w:w="0" w:type="dxa"/>
              <w:right w:w="108" w:type="dxa"/>
            </w:tcMar>
            <w:hideMark/>
          </w:tcPr>
          <w:p w14:paraId="149F9358" w14:textId="77777777" w:rsidR="006E5C07" w:rsidRPr="006E5C07" w:rsidRDefault="006E5C07" w:rsidP="006E5C07">
            <w:pPr>
              <w:spacing w:after="0" w:line="240" w:lineRule="auto"/>
              <w:rPr>
                <w:rFonts w:ascii="Calibri" w:eastAsia="Times New Roman" w:hAnsi="Calibri" w:cs="Calibri"/>
              </w:rPr>
            </w:pPr>
          </w:p>
        </w:tc>
        <w:tc>
          <w:tcPr>
            <w:tcW w:w="493" w:type="dxa"/>
            <w:tcBorders>
              <w:top w:val="nil"/>
              <w:left w:val="nil"/>
              <w:bottom w:val="nil"/>
              <w:right w:val="nil"/>
            </w:tcBorders>
            <w:tcMar>
              <w:top w:w="0" w:type="dxa"/>
              <w:left w:w="108" w:type="dxa"/>
              <w:bottom w:w="0" w:type="dxa"/>
              <w:right w:w="108" w:type="dxa"/>
            </w:tcMar>
            <w:hideMark/>
          </w:tcPr>
          <w:p w14:paraId="48E45E14" w14:textId="77777777" w:rsidR="006E5C07" w:rsidRPr="006E5C07" w:rsidRDefault="006E5C07" w:rsidP="006E5C07">
            <w:pPr>
              <w:spacing w:after="0" w:line="240" w:lineRule="auto"/>
              <w:jc w:val="center"/>
              <w:rPr>
                <w:rFonts w:ascii="Calibri" w:eastAsia="Times New Roman" w:hAnsi="Calibri" w:cs="Calibri"/>
              </w:rPr>
            </w:pPr>
          </w:p>
        </w:tc>
        <w:tc>
          <w:tcPr>
            <w:tcW w:w="2194" w:type="dxa"/>
            <w:tcBorders>
              <w:top w:val="nil"/>
              <w:left w:val="nil"/>
              <w:bottom w:val="nil"/>
              <w:right w:val="nil"/>
            </w:tcBorders>
            <w:tcMar>
              <w:top w:w="0" w:type="dxa"/>
              <w:left w:w="108" w:type="dxa"/>
              <w:bottom w:w="0" w:type="dxa"/>
              <w:right w:w="108" w:type="dxa"/>
            </w:tcMar>
            <w:hideMark/>
          </w:tcPr>
          <w:p w14:paraId="7BF9FE34" w14:textId="77777777" w:rsidR="006E5C07" w:rsidRPr="006E5C07" w:rsidRDefault="006E5C07" w:rsidP="006E5C07">
            <w:pPr>
              <w:spacing w:after="0" w:line="240" w:lineRule="auto"/>
              <w:jc w:val="right"/>
              <w:rPr>
                <w:rFonts w:ascii="Calibri" w:eastAsia="Times New Roman" w:hAnsi="Calibri" w:cs="Calibri"/>
              </w:rPr>
            </w:pPr>
          </w:p>
        </w:tc>
        <w:tc>
          <w:tcPr>
            <w:tcW w:w="2193" w:type="dxa"/>
            <w:tcBorders>
              <w:top w:val="nil"/>
              <w:left w:val="nil"/>
              <w:bottom w:val="nil"/>
              <w:right w:val="nil"/>
            </w:tcBorders>
            <w:tcMar>
              <w:top w:w="0" w:type="dxa"/>
              <w:left w:w="108" w:type="dxa"/>
              <w:bottom w:w="0" w:type="dxa"/>
              <w:right w:w="108" w:type="dxa"/>
            </w:tcMar>
            <w:hideMark/>
          </w:tcPr>
          <w:p w14:paraId="409A0208"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0C9DC487" w14:textId="77777777" w:rsidTr="006E5C07">
        <w:tc>
          <w:tcPr>
            <w:tcW w:w="3436" w:type="dxa"/>
            <w:tcBorders>
              <w:top w:val="nil"/>
              <w:left w:val="nil"/>
              <w:bottom w:val="nil"/>
              <w:right w:val="nil"/>
            </w:tcBorders>
            <w:tcMar>
              <w:top w:w="0" w:type="dxa"/>
              <w:left w:w="108" w:type="dxa"/>
              <w:bottom w:w="0" w:type="dxa"/>
              <w:right w:w="108" w:type="dxa"/>
            </w:tcMar>
            <w:hideMark/>
          </w:tcPr>
          <w:p w14:paraId="710F4C6F"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Cash flows from financing activities</w:t>
            </w:r>
          </w:p>
        </w:tc>
        <w:tc>
          <w:tcPr>
            <w:tcW w:w="493" w:type="dxa"/>
            <w:tcBorders>
              <w:top w:val="nil"/>
              <w:left w:val="nil"/>
              <w:bottom w:val="nil"/>
              <w:right w:val="nil"/>
            </w:tcBorders>
            <w:tcMar>
              <w:top w:w="0" w:type="dxa"/>
              <w:left w:w="108" w:type="dxa"/>
              <w:bottom w:w="0" w:type="dxa"/>
              <w:right w:w="108" w:type="dxa"/>
            </w:tcMar>
            <w:hideMark/>
          </w:tcPr>
          <w:p w14:paraId="72F42C3E" w14:textId="77777777" w:rsidR="006E5C07" w:rsidRPr="006E5C07" w:rsidRDefault="006E5C07" w:rsidP="006E5C07">
            <w:pPr>
              <w:spacing w:after="0" w:line="240" w:lineRule="auto"/>
              <w:jc w:val="center"/>
              <w:rPr>
                <w:rFonts w:ascii="Calibri" w:eastAsia="Times New Roman" w:hAnsi="Calibri" w:cs="Calibri"/>
              </w:rPr>
            </w:pPr>
          </w:p>
        </w:tc>
        <w:tc>
          <w:tcPr>
            <w:tcW w:w="2194" w:type="dxa"/>
            <w:tcBorders>
              <w:top w:val="nil"/>
              <w:left w:val="nil"/>
              <w:bottom w:val="nil"/>
              <w:right w:val="nil"/>
            </w:tcBorders>
            <w:tcMar>
              <w:top w:w="0" w:type="dxa"/>
              <w:left w:w="108" w:type="dxa"/>
              <w:bottom w:w="0" w:type="dxa"/>
              <w:right w:w="108" w:type="dxa"/>
            </w:tcMar>
            <w:hideMark/>
          </w:tcPr>
          <w:p w14:paraId="1C523259" w14:textId="77777777" w:rsidR="006E5C07" w:rsidRPr="006E5C07" w:rsidRDefault="006E5C07" w:rsidP="006E5C07">
            <w:pPr>
              <w:spacing w:after="0" w:line="240" w:lineRule="auto"/>
              <w:jc w:val="right"/>
              <w:rPr>
                <w:rFonts w:ascii="Calibri" w:eastAsia="Times New Roman" w:hAnsi="Calibri" w:cs="Calibri"/>
              </w:rPr>
            </w:pPr>
          </w:p>
        </w:tc>
        <w:tc>
          <w:tcPr>
            <w:tcW w:w="2193" w:type="dxa"/>
            <w:tcBorders>
              <w:top w:val="nil"/>
              <w:left w:val="nil"/>
              <w:bottom w:val="nil"/>
              <w:right w:val="nil"/>
            </w:tcBorders>
            <w:tcMar>
              <w:top w:w="0" w:type="dxa"/>
              <w:left w:w="108" w:type="dxa"/>
              <w:bottom w:w="0" w:type="dxa"/>
              <w:right w:w="108" w:type="dxa"/>
            </w:tcMar>
            <w:hideMark/>
          </w:tcPr>
          <w:p w14:paraId="1862427F"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71F3459A" w14:textId="77777777" w:rsidTr="006E5C07">
        <w:tc>
          <w:tcPr>
            <w:tcW w:w="3436" w:type="dxa"/>
            <w:tcBorders>
              <w:top w:val="nil"/>
              <w:left w:val="nil"/>
              <w:bottom w:val="nil"/>
              <w:right w:val="nil"/>
            </w:tcBorders>
            <w:tcMar>
              <w:top w:w="0" w:type="dxa"/>
              <w:left w:w="108" w:type="dxa"/>
              <w:bottom w:w="0" w:type="dxa"/>
              <w:right w:w="108" w:type="dxa"/>
            </w:tcMar>
            <w:hideMark/>
          </w:tcPr>
          <w:p w14:paraId="1B891FF9"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Bank facility drawn </w:t>
            </w:r>
          </w:p>
        </w:tc>
        <w:tc>
          <w:tcPr>
            <w:tcW w:w="493" w:type="dxa"/>
            <w:tcBorders>
              <w:top w:val="nil"/>
              <w:left w:val="nil"/>
              <w:bottom w:val="nil"/>
              <w:right w:val="nil"/>
            </w:tcBorders>
            <w:tcMar>
              <w:top w:w="0" w:type="dxa"/>
              <w:left w:w="108" w:type="dxa"/>
              <w:bottom w:w="0" w:type="dxa"/>
              <w:right w:w="108" w:type="dxa"/>
            </w:tcMar>
            <w:hideMark/>
          </w:tcPr>
          <w:p w14:paraId="769C5E62" w14:textId="77777777" w:rsidR="006E5C07" w:rsidRPr="006E5C07" w:rsidRDefault="006E5C07" w:rsidP="006E5C07">
            <w:pPr>
              <w:spacing w:after="0" w:line="240" w:lineRule="auto"/>
              <w:jc w:val="center"/>
              <w:rPr>
                <w:rFonts w:ascii="Calibri" w:eastAsia="Times New Roman" w:hAnsi="Calibri" w:cs="Calibri"/>
              </w:rPr>
            </w:pPr>
          </w:p>
        </w:tc>
        <w:tc>
          <w:tcPr>
            <w:tcW w:w="2194" w:type="dxa"/>
            <w:tcBorders>
              <w:top w:val="nil"/>
              <w:left w:val="nil"/>
              <w:bottom w:val="nil"/>
              <w:right w:val="nil"/>
            </w:tcBorders>
            <w:tcMar>
              <w:top w:w="0" w:type="dxa"/>
              <w:left w:w="108" w:type="dxa"/>
              <w:bottom w:w="0" w:type="dxa"/>
              <w:right w:w="108" w:type="dxa"/>
            </w:tcMar>
            <w:hideMark/>
          </w:tcPr>
          <w:p w14:paraId="67DDC80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1,000</w:t>
            </w:r>
          </w:p>
        </w:tc>
        <w:tc>
          <w:tcPr>
            <w:tcW w:w="2193" w:type="dxa"/>
            <w:tcBorders>
              <w:top w:val="nil"/>
              <w:left w:val="nil"/>
              <w:bottom w:val="nil"/>
              <w:right w:val="nil"/>
            </w:tcBorders>
            <w:tcMar>
              <w:top w:w="0" w:type="dxa"/>
              <w:left w:w="108" w:type="dxa"/>
              <w:bottom w:w="0" w:type="dxa"/>
              <w:right w:w="108" w:type="dxa"/>
            </w:tcMar>
            <w:hideMark/>
          </w:tcPr>
          <w:p w14:paraId="424F296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750</w:t>
            </w:r>
          </w:p>
        </w:tc>
      </w:tr>
      <w:tr w:rsidR="006E5C07" w:rsidRPr="006E5C07" w14:paraId="443A0FD0" w14:textId="77777777" w:rsidTr="006E5C07">
        <w:tc>
          <w:tcPr>
            <w:tcW w:w="3436" w:type="dxa"/>
            <w:tcBorders>
              <w:top w:val="nil"/>
              <w:left w:val="nil"/>
              <w:bottom w:val="nil"/>
              <w:right w:val="nil"/>
            </w:tcBorders>
            <w:tcMar>
              <w:top w:w="0" w:type="dxa"/>
              <w:left w:w="108" w:type="dxa"/>
              <w:bottom w:w="0" w:type="dxa"/>
              <w:right w:w="108" w:type="dxa"/>
            </w:tcMar>
            <w:hideMark/>
          </w:tcPr>
          <w:p w14:paraId="1CC21D35"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Payment of lease obligations</w:t>
            </w:r>
          </w:p>
        </w:tc>
        <w:tc>
          <w:tcPr>
            <w:tcW w:w="493" w:type="dxa"/>
            <w:tcBorders>
              <w:top w:val="nil"/>
              <w:left w:val="nil"/>
              <w:bottom w:val="nil"/>
              <w:right w:val="nil"/>
            </w:tcBorders>
            <w:tcMar>
              <w:top w:w="0" w:type="dxa"/>
              <w:left w:w="108" w:type="dxa"/>
              <w:bottom w:w="0" w:type="dxa"/>
              <w:right w:w="108" w:type="dxa"/>
            </w:tcMar>
            <w:hideMark/>
          </w:tcPr>
          <w:p w14:paraId="5DE74242" w14:textId="77777777" w:rsidR="006E5C07" w:rsidRPr="006E5C07" w:rsidRDefault="006E5C07" w:rsidP="006E5C07">
            <w:pPr>
              <w:spacing w:after="0" w:line="240" w:lineRule="auto"/>
              <w:jc w:val="center"/>
              <w:rPr>
                <w:rFonts w:ascii="Calibri" w:eastAsia="Times New Roman" w:hAnsi="Calibri" w:cs="Calibri"/>
              </w:rPr>
            </w:pPr>
          </w:p>
        </w:tc>
        <w:tc>
          <w:tcPr>
            <w:tcW w:w="2194" w:type="dxa"/>
            <w:tcBorders>
              <w:top w:val="nil"/>
              <w:left w:val="nil"/>
              <w:bottom w:val="nil"/>
              <w:right w:val="nil"/>
            </w:tcBorders>
            <w:tcMar>
              <w:top w:w="0" w:type="dxa"/>
              <w:left w:w="108" w:type="dxa"/>
              <w:bottom w:w="0" w:type="dxa"/>
              <w:right w:w="108" w:type="dxa"/>
            </w:tcMar>
            <w:hideMark/>
          </w:tcPr>
          <w:p w14:paraId="0BE5CD2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(207)</w:t>
            </w:r>
          </w:p>
        </w:tc>
        <w:tc>
          <w:tcPr>
            <w:tcW w:w="2193" w:type="dxa"/>
            <w:tcBorders>
              <w:top w:val="nil"/>
              <w:left w:val="nil"/>
              <w:bottom w:val="nil"/>
              <w:right w:val="nil"/>
            </w:tcBorders>
            <w:tcMar>
              <w:top w:w="0" w:type="dxa"/>
              <w:left w:w="108" w:type="dxa"/>
              <w:bottom w:w="0" w:type="dxa"/>
              <w:right w:w="108" w:type="dxa"/>
            </w:tcMar>
            <w:hideMark/>
          </w:tcPr>
          <w:p w14:paraId="09FCD9B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(191)</w:t>
            </w:r>
          </w:p>
        </w:tc>
      </w:tr>
      <w:tr w:rsidR="006E5C07" w:rsidRPr="006E5C07" w14:paraId="2CE7BBEF" w14:textId="77777777" w:rsidTr="006E5C07">
        <w:tc>
          <w:tcPr>
            <w:tcW w:w="3436" w:type="dxa"/>
            <w:tcBorders>
              <w:top w:val="nil"/>
              <w:left w:val="nil"/>
              <w:bottom w:val="nil"/>
              <w:right w:val="nil"/>
            </w:tcBorders>
            <w:tcMar>
              <w:top w:w="0" w:type="dxa"/>
              <w:left w:w="108" w:type="dxa"/>
              <w:bottom w:w="0" w:type="dxa"/>
              <w:right w:w="108" w:type="dxa"/>
            </w:tcMar>
            <w:hideMark/>
          </w:tcPr>
          <w:p w14:paraId="027D647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Dividends paid</w:t>
            </w:r>
          </w:p>
        </w:tc>
        <w:tc>
          <w:tcPr>
            <w:tcW w:w="493" w:type="dxa"/>
            <w:tcBorders>
              <w:top w:val="nil"/>
              <w:left w:val="nil"/>
              <w:bottom w:val="nil"/>
              <w:right w:val="nil"/>
            </w:tcBorders>
            <w:tcMar>
              <w:top w:w="0" w:type="dxa"/>
              <w:left w:w="108" w:type="dxa"/>
              <w:bottom w:w="0" w:type="dxa"/>
              <w:right w:w="108" w:type="dxa"/>
            </w:tcMar>
            <w:hideMark/>
          </w:tcPr>
          <w:p w14:paraId="1F843B7E"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13</w:t>
            </w:r>
          </w:p>
        </w:tc>
        <w:tc>
          <w:tcPr>
            <w:tcW w:w="2194" w:type="dxa"/>
            <w:tcBorders>
              <w:top w:val="nil"/>
              <w:left w:val="nil"/>
              <w:bottom w:val="single" w:sz="8" w:space="0" w:color="auto"/>
              <w:right w:val="nil"/>
            </w:tcBorders>
            <w:tcMar>
              <w:top w:w="0" w:type="dxa"/>
              <w:left w:w="108" w:type="dxa"/>
              <w:bottom w:w="0" w:type="dxa"/>
              <w:right w:w="108" w:type="dxa"/>
            </w:tcMar>
            <w:hideMark/>
          </w:tcPr>
          <w:p w14:paraId="2EEB19D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2193" w:type="dxa"/>
            <w:tcBorders>
              <w:top w:val="nil"/>
              <w:left w:val="nil"/>
              <w:bottom w:val="single" w:sz="8" w:space="0" w:color="auto"/>
              <w:right w:val="nil"/>
            </w:tcBorders>
            <w:tcMar>
              <w:top w:w="0" w:type="dxa"/>
              <w:left w:w="108" w:type="dxa"/>
              <w:bottom w:w="0" w:type="dxa"/>
              <w:right w:w="108" w:type="dxa"/>
            </w:tcMar>
            <w:hideMark/>
          </w:tcPr>
          <w:p w14:paraId="0C4ACEA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(98)</w:t>
            </w:r>
          </w:p>
        </w:tc>
      </w:tr>
      <w:tr w:rsidR="006E5C07" w:rsidRPr="006E5C07" w14:paraId="250C3FEE" w14:textId="77777777" w:rsidTr="006E5C07">
        <w:tc>
          <w:tcPr>
            <w:tcW w:w="3436" w:type="dxa"/>
            <w:tcBorders>
              <w:top w:val="nil"/>
              <w:left w:val="nil"/>
              <w:bottom w:val="nil"/>
              <w:right w:val="nil"/>
            </w:tcBorders>
            <w:tcMar>
              <w:top w:w="0" w:type="dxa"/>
              <w:left w:w="108" w:type="dxa"/>
              <w:bottom w:w="0" w:type="dxa"/>
              <w:right w:w="108" w:type="dxa"/>
            </w:tcMar>
            <w:hideMark/>
          </w:tcPr>
          <w:p w14:paraId="512187AE"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Net cash inflow from</w:t>
            </w:r>
          </w:p>
        </w:tc>
        <w:tc>
          <w:tcPr>
            <w:tcW w:w="493" w:type="dxa"/>
            <w:tcBorders>
              <w:top w:val="nil"/>
              <w:left w:val="nil"/>
              <w:bottom w:val="nil"/>
              <w:right w:val="nil"/>
            </w:tcBorders>
            <w:tcMar>
              <w:top w:w="0" w:type="dxa"/>
              <w:left w:w="108" w:type="dxa"/>
              <w:bottom w:w="0" w:type="dxa"/>
              <w:right w:w="108" w:type="dxa"/>
            </w:tcMar>
            <w:hideMark/>
          </w:tcPr>
          <w:p w14:paraId="0E5EFF79" w14:textId="77777777" w:rsidR="006E5C07" w:rsidRPr="006E5C07" w:rsidRDefault="006E5C07" w:rsidP="006E5C07">
            <w:pPr>
              <w:spacing w:after="0" w:line="240" w:lineRule="auto"/>
              <w:jc w:val="center"/>
              <w:rPr>
                <w:rFonts w:ascii="Calibri" w:eastAsia="Times New Roman" w:hAnsi="Calibri" w:cs="Calibri"/>
              </w:rPr>
            </w:pPr>
          </w:p>
        </w:tc>
        <w:tc>
          <w:tcPr>
            <w:tcW w:w="2194" w:type="dxa"/>
            <w:tcBorders>
              <w:top w:val="nil"/>
              <w:left w:val="nil"/>
              <w:bottom w:val="nil"/>
              <w:right w:val="nil"/>
            </w:tcBorders>
            <w:tcMar>
              <w:top w:w="0" w:type="dxa"/>
              <w:left w:w="108" w:type="dxa"/>
              <w:bottom w:w="0" w:type="dxa"/>
              <w:right w:w="108" w:type="dxa"/>
            </w:tcMar>
            <w:hideMark/>
          </w:tcPr>
          <w:p w14:paraId="6D7B6F97"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793</w:t>
            </w:r>
          </w:p>
        </w:tc>
        <w:tc>
          <w:tcPr>
            <w:tcW w:w="2193" w:type="dxa"/>
            <w:tcBorders>
              <w:top w:val="nil"/>
              <w:left w:val="nil"/>
              <w:bottom w:val="nil"/>
              <w:right w:val="nil"/>
            </w:tcBorders>
            <w:tcMar>
              <w:top w:w="0" w:type="dxa"/>
              <w:left w:w="108" w:type="dxa"/>
              <w:bottom w:w="0" w:type="dxa"/>
              <w:right w:w="108" w:type="dxa"/>
            </w:tcMar>
            <w:hideMark/>
          </w:tcPr>
          <w:p w14:paraId="3374DB42"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461</w:t>
            </w:r>
          </w:p>
        </w:tc>
      </w:tr>
      <w:tr w:rsidR="006E5C07" w:rsidRPr="006E5C07" w14:paraId="54819A96" w14:textId="77777777" w:rsidTr="006E5C07">
        <w:tc>
          <w:tcPr>
            <w:tcW w:w="3436" w:type="dxa"/>
            <w:tcBorders>
              <w:top w:val="nil"/>
              <w:left w:val="nil"/>
              <w:bottom w:val="nil"/>
              <w:right w:val="nil"/>
            </w:tcBorders>
            <w:tcMar>
              <w:top w:w="0" w:type="dxa"/>
              <w:left w:w="108" w:type="dxa"/>
              <w:bottom w:w="0" w:type="dxa"/>
              <w:right w:w="108" w:type="dxa"/>
            </w:tcMar>
            <w:hideMark/>
          </w:tcPr>
          <w:p w14:paraId="61FD55D7"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financing activities</w:t>
            </w:r>
          </w:p>
        </w:tc>
        <w:tc>
          <w:tcPr>
            <w:tcW w:w="493" w:type="dxa"/>
            <w:tcBorders>
              <w:top w:val="nil"/>
              <w:left w:val="nil"/>
              <w:bottom w:val="nil"/>
              <w:right w:val="nil"/>
            </w:tcBorders>
            <w:tcMar>
              <w:top w:w="0" w:type="dxa"/>
              <w:left w:w="108" w:type="dxa"/>
              <w:bottom w:w="0" w:type="dxa"/>
              <w:right w:w="108" w:type="dxa"/>
            </w:tcMar>
            <w:hideMark/>
          </w:tcPr>
          <w:p w14:paraId="4ED304C7" w14:textId="77777777" w:rsidR="006E5C07" w:rsidRPr="006E5C07" w:rsidRDefault="006E5C07" w:rsidP="006E5C07">
            <w:pPr>
              <w:spacing w:after="0" w:line="240" w:lineRule="auto"/>
              <w:jc w:val="center"/>
              <w:rPr>
                <w:rFonts w:ascii="Calibri" w:eastAsia="Times New Roman" w:hAnsi="Calibri" w:cs="Calibri"/>
              </w:rPr>
            </w:pPr>
          </w:p>
        </w:tc>
        <w:tc>
          <w:tcPr>
            <w:tcW w:w="2194" w:type="dxa"/>
            <w:tcBorders>
              <w:top w:val="nil"/>
              <w:left w:val="nil"/>
              <w:bottom w:val="single" w:sz="8" w:space="0" w:color="auto"/>
              <w:right w:val="nil"/>
            </w:tcBorders>
            <w:tcMar>
              <w:top w:w="0" w:type="dxa"/>
              <w:left w:w="108" w:type="dxa"/>
              <w:bottom w:w="0" w:type="dxa"/>
              <w:right w:w="108" w:type="dxa"/>
            </w:tcMar>
            <w:hideMark/>
          </w:tcPr>
          <w:p w14:paraId="106B20CF" w14:textId="77777777" w:rsidR="006E5C07" w:rsidRPr="006E5C07" w:rsidRDefault="006E5C07" w:rsidP="006E5C07">
            <w:pPr>
              <w:spacing w:after="0" w:line="240" w:lineRule="auto"/>
              <w:jc w:val="right"/>
              <w:rPr>
                <w:rFonts w:ascii="Calibri" w:eastAsia="Times New Roman" w:hAnsi="Calibri" w:cs="Calibri"/>
                <w:b/>
                <w:bCs/>
              </w:rPr>
            </w:pPr>
          </w:p>
        </w:tc>
        <w:tc>
          <w:tcPr>
            <w:tcW w:w="2193" w:type="dxa"/>
            <w:tcBorders>
              <w:top w:val="nil"/>
              <w:left w:val="nil"/>
              <w:bottom w:val="single" w:sz="8" w:space="0" w:color="auto"/>
              <w:right w:val="nil"/>
            </w:tcBorders>
            <w:tcMar>
              <w:top w:w="0" w:type="dxa"/>
              <w:left w:w="108" w:type="dxa"/>
              <w:bottom w:w="0" w:type="dxa"/>
              <w:right w:w="108" w:type="dxa"/>
            </w:tcMar>
            <w:hideMark/>
          </w:tcPr>
          <w:p w14:paraId="78D668DB"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7573113D" w14:textId="77777777" w:rsidTr="006E5C07">
        <w:tc>
          <w:tcPr>
            <w:tcW w:w="3436" w:type="dxa"/>
            <w:tcBorders>
              <w:top w:val="nil"/>
              <w:left w:val="nil"/>
              <w:bottom w:val="nil"/>
              <w:right w:val="nil"/>
            </w:tcBorders>
            <w:tcMar>
              <w:top w:w="0" w:type="dxa"/>
              <w:left w:w="108" w:type="dxa"/>
              <w:bottom w:w="0" w:type="dxa"/>
              <w:right w:w="108" w:type="dxa"/>
            </w:tcMar>
            <w:hideMark/>
          </w:tcPr>
          <w:p w14:paraId="0B143E3E" w14:textId="77777777" w:rsidR="006E5C07" w:rsidRPr="006E5C07" w:rsidRDefault="006E5C07" w:rsidP="006E5C07">
            <w:pPr>
              <w:spacing w:after="0" w:line="240" w:lineRule="auto"/>
              <w:rPr>
                <w:rFonts w:ascii="Calibri" w:eastAsia="Times New Roman" w:hAnsi="Calibri" w:cs="Calibri"/>
              </w:rPr>
            </w:pPr>
          </w:p>
        </w:tc>
        <w:tc>
          <w:tcPr>
            <w:tcW w:w="493" w:type="dxa"/>
            <w:tcBorders>
              <w:top w:val="nil"/>
              <w:left w:val="nil"/>
              <w:bottom w:val="nil"/>
              <w:right w:val="nil"/>
            </w:tcBorders>
            <w:tcMar>
              <w:top w:w="0" w:type="dxa"/>
              <w:left w:w="108" w:type="dxa"/>
              <w:bottom w:w="0" w:type="dxa"/>
              <w:right w:w="108" w:type="dxa"/>
            </w:tcMar>
            <w:hideMark/>
          </w:tcPr>
          <w:p w14:paraId="22A48A85" w14:textId="77777777" w:rsidR="006E5C07" w:rsidRPr="006E5C07" w:rsidRDefault="006E5C07" w:rsidP="006E5C07">
            <w:pPr>
              <w:spacing w:after="0" w:line="240" w:lineRule="auto"/>
              <w:jc w:val="center"/>
              <w:rPr>
                <w:rFonts w:ascii="Calibri" w:eastAsia="Times New Roman" w:hAnsi="Calibri" w:cs="Calibri"/>
              </w:rPr>
            </w:pPr>
          </w:p>
        </w:tc>
        <w:tc>
          <w:tcPr>
            <w:tcW w:w="2194" w:type="dxa"/>
            <w:tcBorders>
              <w:top w:val="nil"/>
              <w:left w:val="nil"/>
              <w:bottom w:val="nil"/>
              <w:right w:val="nil"/>
            </w:tcBorders>
            <w:tcMar>
              <w:top w:w="0" w:type="dxa"/>
              <w:left w:w="108" w:type="dxa"/>
              <w:bottom w:w="0" w:type="dxa"/>
              <w:right w:w="108" w:type="dxa"/>
            </w:tcMar>
            <w:hideMark/>
          </w:tcPr>
          <w:p w14:paraId="1D62DA6C" w14:textId="77777777" w:rsidR="006E5C07" w:rsidRPr="006E5C07" w:rsidRDefault="006E5C07" w:rsidP="006E5C07">
            <w:pPr>
              <w:spacing w:after="0" w:line="240" w:lineRule="auto"/>
              <w:jc w:val="right"/>
              <w:rPr>
                <w:rFonts w:ascii="Calibri" w:eastAsia="Times New Roman" w:hAnsi="Calibri" w:cs="Calibri"/>
              </w:rPr>
            </w:pPr>
          </w:p>
        </w:tc>
        <w:tc>
          <w:tcPr>
            <w:tcW w:w="2193" w:type="dxa"/>
            <w:tcBorders>
              <w:top w:val="nil"/>
              <w:left w:val="nil"/>
              <w:bottom w:val="nil"/>
              <w:right w:val="nil"/>
            </w:tcBorders>
            <w:tcMar>
              <w:top w:w="0" w:type="dxa"/>
              <w:left w:w="108" w:type="dxa"/>
              <w:bottom w:w="0" w:type="dxa"/>
              <w:right w:w="108" w:type="dxa"/>
            </w:tcMar>
            <w:hideMark/>
          </w:tcPr>
          <w:p w14:paraId="74622D5C"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3C610868" w14:textId="77777777" w:rsidTr="006E5C07">
        <w:tc>
          <w:tcPr>
            <w:tcW w:w="3436" w:type="dxa"/>
            <w:tcBorders>
              <w:top w:val="nil"/>
              <w:left w:val="nil"/>
              <w:bottom w:val="nil"/>
              <w:right w:val="nil"/>
            </w:tcBorders>
            <w:tcMar>
              <w:top w:w="0" w:type="dxa"/>
              <w:left w:w="108" w:type="dxa"/>
              <w:bottom w:w="0" w:type="dxa"/>
              <w:right w:w="108" w:type="dxa"/>
            </w:tcMar>
            <w:hideMark/>
          </w:tcPr>
          <w:p w14:paraId="5A6943E0"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(Decrease) / increase in cash and cash equivalents</w:t>
            </w:r>
          </w:p>
        </w:tc>
        <w:tc>
          <w:tcPr>
            <w:tcW w:w="493" w:type="dxa"/>
            <w:tcBorders>
              <w:top w:val="nil"/>
              <w:left w:val="nil"/>
              <w:bottom w:val="nil"/>
              <w:right w:val="nil"/>
            </w:tcBorders>
            <w:tcMar>
              <w:top w:w="0" w:type="dxa"/>
              <w:left w:w="108" w:type="dxa"/>
              <w:bottom w:w="0" w:type="dxa"/>
              <w:right w:w="108" w:type="dxa"/>
            </w:tcMar>
            <w:hideMark/>
          </w:tcPr>
          <w:p w14:paraId="135DC5D0" w14:textId="77777777" w:rsidR="006E5C07" w:rsidRPr="006E5C07" w:rsidRDefault="006E5C07" w:rsidP="006E5C07">
            <w:pPr>
              <w:spacing w:after="0" w:line="240" w:lineRule="auto"/>
              <w:jc w:val="center"/>
              <w:rPr>
                <w:rFonts w:ascii="Calibri" w:eastAsia="Times New Roman" w:hAnsi="Calibri" w:cs="Calibri"/>
                <w:b/>
                <w:bCs/>
              </w:rPr>
            </w:pPr>
          </w:p>
        </w:tc>
        <w:tc>
          <w:tcPr>
            <w:tcW w:w="2194" w:type="dxa"/>
            <w:tcBorders>
              <w:top w:val="nil"/>
              <w:left w:val="nil"/>
              <w:bottom w:val="nil"/>
              <w:right w:val="nil"/>
            </w:tcBorders>
            <w:tcMar>
              <w:top w:w="0" w:type="dxa"/>
              <w:left w:w="108" w:type="dxa"/>
              <w:bottom w:w="0" w:type="dxa"/>
              <w:right w:w="108" w:type="dxa"/>
            </w:tcMar>
            <w:hideMark/>
          </w:tcPr>
          <w:p w14:paraId="0F7A8373"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(388)</w:t>
            </w:r>
          </w:p>
        </w:tc>
        <w:tc>
          <w:tcPr>
            <w:tcW w:w="2193" w:type="dxa"/>
            <w:tcBorders>
              <w:top w:val="nil"/>
              <w:left w:val="nil"/>
              <w:bottom w:val="nil"/>
              <w:right w:val="nil"/>
            </w:tcBorders>
            <w:tcMar>
              <w:top w:w="0" w:type="dxa"/>
              <w:left w:w="108" w:type="dxa"/>
              <w:bottom w:w="0" w:type="dxa"/>
              <w:right w:w="108" w:type="dxa"/>
            </w:tcMar>
            <w:hideMark/>
          </w:tcPr>
          <w:p w14:paraId="6A117FCF"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384</w:t>
            </w:r>
          </w:p>
        </w:tc>
      </w:tr>
      <w:tr w:rsidR="006E5C07" w:rsidRPr="006E5C07" w14:paraId="53F73B17" w14:textId="77777777" w:rsidTr="006E5C07">
        <w:tc>
          <w:tcPr>
            <w:tcW w:w="3436" w:type="dxa"/>
            <w:tcBorders>
              <w:top w:val="nil"/>
              <w:left w:val="nil"/>
              <w:bottom w:val="nil"/>
              <w:right w:val="nil"/>
            </w:tcBorders>
            <w:tcMar>
              <w:top w:w="0" w:type="dxa"/>
              <w:left w:w="108" w:type="dxa"/>
              <w:bottom w:w="0" w:type="dxa"/>
              <w:right w:w="108" w:type="dxa"/>
            </w:tcMar>
            <w:hideMark/>
          </w:tcPr>
          <w:p w14:paraId="718C604F"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Cash and cash equivalents at beginning of</w:t>
            </w:r>
          </w:p>
        </w:tc>
        <w:tc>
          <w:tcPr>
            <w:tcW w:w="493" w:type="dxa"/>
            <w:tcBorders>
              <w:top w:val="nil"/>
              <w:left w:val="nil"/>
              <w:bottom w:val="nil"/>
              <w:right w:val="nil"/>
            </w:tcBorders>
            <w:tcMar>
              <w:top w:w="0" w:type="dxa"/>
              <w:left w:w="108" w:type="dxa"/>
              <w:bottom w:w="0" w:type="dxa"/>
              <w:right w:w="108" w:type="dxa"/>
            </w:tcMar>
            <w:hideMark/>
          </w:tcPr>
          <w:p w14:paraId="3157B16F" w14:textId="77777777" w:rsidR="006E5C07" w:rsidRPr="006E5C07" w:rsidRDefault="006E5C07" w:rsidP="006E5C07">
            <w:pPr>
              <w:spacing w:after="0" w:line="240" w:lineRule="auto"/>
              <w:jc w:val="center"/>
              <w:rPr>
                <w:rFonts w:ascii="Calibri" w:eastAsia="Times New Roman" w:hAnsi="Calibri" w:cs="Calibri"/>
              </w:rPr>
            </w:pPr>
          </w:p>
        </w:tc>
        <w:tc>
          <w:tcPr>
            <w:tcW w:w="2194" w:type="dxa"/>
            <w:tcBorders>
              <w:top w:val="nil"/>
              <w:left w:val="nil"/>
              <w:bottom w:val="nil"/>
              <w:right w:val="nil"/>
            </w:tcBorders>
            <w:tcMar>
              <w:top w:w="0" w:type="dxa"/>
              <w:left w:w="108" w:type="dxa"/>
              <w:bottom w:w="0" w:type="dxa"/>
              <w:right w:w="108" w:type="dxa"/>
            </w:tcMar>
            <w:hideMark/>
          </w:tcPr>
          <w:p w14:paraId="0C3EB72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1,227</w:t>
            </w:r>
          </w:p>
        </w:tc>
        <w:tc>
          <w:tcPr>
            <w:tcW w:w="2193" w:type="dxa"/>
            <w:tcBorders>
              <w:top w:val="nil"/>
              <w:left w:val="nil"/>
              <w:bottom w:val="nil"/>
              <w:right w:val="nil"/>
            </w:tcBorders>
            <w:tcMar>
              <w:top w:w="0" w:type="dxa"/>
              <w:left w:w="108" w:type="dxa"/>
              <w:bottom w:w="0" w:type="dxa"/>
              <w:right w:w="108" w:type="dxa"/>
            </w:tcMar>
            <w:hideMark/>
          </w:tcPr>
          <w:p w14:paraId="5D0640F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843</w:t>
            </w:r>
          </w:p>
        </w:tc>
      </w:tr>
      <w:tr w:rsidR="006E5C07" w:rsidRPr="006E5C07" w14:paraId="2B78864F" w14:textId="77777777" w:rsidTr="006E5C07">
        <w:tc>
          <w:tcPr>
            <w:tcW w:w="3436" w:type="dxa"/>
            <w:tcBorders>
              <w:top w:val="nil"/>
              <w:left w:val="nil"/>
              <w:bottom w:val="nil"/>
              <w:right w:val="nil"/>
            </w:tcBorders>
            <w:tcMar>
              <w:top w:w="0" w:type="dxa"/>
              <w:left w:w="108" w:type="dxa"/>
              <w:bottom w:w="0" w:type="dxa"/>
              <w:right w:w="108" w:type="dxa"/>
            </w:tcMar>
            <w:hideMark/>
          </w:tcPr>
          <w:p w14:paraId="4EA2C8C2"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Period</w:t>
            </w:r>
          </w:p>
        </w:tc>
        <w:tc>
          <w:tcPr>
            <w:tcW w:w="493" w:type="dxa"/>
            <w:tcBorders>
              <w:top w:val="nil"/>
              <w:left w:val="nil"/>
              <w:bottom w:val="nil"/>
              <w:right w:val="nil"/>
            </w:tcBorders>
            <w:tcMar>
              <w:top w:w="0" w:type="dxa"/>
              <w:left w:w="108" w:type="dxa"/>
              <w:bottom w:w="0" w:type="dxa"/>
              <w:right w:w="108" w:type="dxa"/>
            </w:tcMar>
            <w:hideMark/>
          </w:tcPr>
          <w:p w14:paraId="55FC876D" w14:textId="77777777" w:rsidR="006E5C07" w:rsidRPr="006E5C07" w:rsidRDefault="006E5C07" w:rsidP="006E5C07">
            <w:pPr>
              <w:spacing w:after="0" w:line="240" w:lineRule="auto"/>
              <w:jc w:val="center"/>
              <w:rPr>
                <w:rFonts w:ascii="Calibri" w:eastAsia="Times New Roman" w:hAnsi="Calibri" w:cs="Calibri"/>
              </w:rPr>
            </w:pPr>
          </w:p>
        </w:tc>
        <w:tc>
          <w:tcPr>
            <w:tcW w:w="2194" w:type="dxa"/>
            <w:tcBorders>
              <w:top w:val="nil"/>
              <w:left w:val="nil"/>
              <w:bottom w:val="single" w:sz="8" w:space="0" w:color="auto"/>
              <w:right w:val="nil"/>
            </w:tcBorders>
            <w:tcMar>
              <w:top w:w="0" w:type="dxa"/>
              <w:left w:w="108" w:type="dxa"/>
              <w:bottom w:w="0" w:type="dxa"/>
              <w:right w:w="108" w:type="dxa"/>
            </w:tcMar>
            <w:hideMark/>
          </w:tcPr>
          <w:p w14:paraId="53E44F57" w14:textId="77777777" w:rsidR="006E5C07" w:rsidRPr="006E5C07" w:rsidRDefault="006E5C07" w:rsidP="006E5C07">
            <w:pPr>
              <w:spacing w:after="0" w:line="240" w:lineRule="auto"/>
              <w:jc w:val="right"/>
              <w:rPr>
                <w:rFonts w:ascii="Calibri" w:eastAsia="Times New Roman" w:hAnsi="Calibri" w:cs="Calibri"/>
              </w:rPr>
            </w:pPr>
          </w:p>
        </w:tc>
        <w:tc>
          <w:tcPr>
            <w:tcW w:w="2193" w:type="dxa"/>
            <w:tcBorders>
              <w:top w:val="nil"/>
              <w:left w:val="nil"/>
              <w:bottom w:val="single" w:sz="8" w:space="0" w:color="auto"/>
              <w:right w:val="nil"/>
            </w:tcBorders>
            <w:tcMar>
              <w:top w:w="0" w:type="dxa"/>
              <w:left w:w="108" w:type="dxa"/>
              <w:bottom w:w="0" w:type="dxa"/>
              <w:right w:w="108" w:type="dxa"/>
            </w:tcMar>
            <w:hideMark/>
          </w:tcPr>
          <w:p w14:paraId="78C4A846"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1FC6FE24" w14:textId="77777777" w:rsidTr="006E5C07">
        <w:tc>
          <w:tcPr>
            <w:tcW w:w="3436" w:type="dxa"/>
            <w:tcBorders>
              <w:top w:val="nil"/>
              <w:left w:val="nil"/>
              <w:bottom w:val="nil"/>
              <w:right w:val="nil"/>
            </w:tcBorders>
            <w:tcMar>
              <w:top w:w="0" w:type="dxa"/>
              <w:left w:w="108" w:type="dxa"/>
              <w:bottom w:w="0" w:type="dxa"/>
              <w:right w:w="108" w:type="dxa"/>
            </w:tcMar>
            <w:hideMark/>
          </w:tcPr>
          <w:p w14:paraId="49C5485C"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Cash and cash equivalents at end of</w:t>
            </w:r>
          </w:p>
        </w:tc>
        <w:tc>
          <w:tcPr>
            <w:tcW w:w="493" w:type="dxa"/>
            <w:tcBorders>
              <w:top w:val="nil"/>
              <w:left w:val="nil"/>
              <w:bottom w:val="nil"/>
              <w:right w:val="nil"/>
            </w:tcBorders>
            <w:tcMar>
              <w:top w:w="0" w:type="dxa"/>
              <w:left w:w="108" w:type="dxa"/>
              <w:bottom w:w="0" w:type="dxa"/>
              <w:right w:w="108" w:type="dxa"/>
            </w:tcMar>
            <w:hideMark/>
          </w:tcPr>
          <w:p w14:paraId="3075CC16"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19</w:t>
            </w:r>
          </w:p>
        </w:tc>
        <w:tc>
          <w:tcPr>
            <w:tcW w:w="2194" w:type="dxa"/>
            <w:tcBorders>
              <w:top w:val="nil"/>
              <w:left w:val="nil"/>
              <w:bottom w:val="nil"/>
              <w:right w:val="nil"/>
            </w:tcBorders>
            <w:tcMar>
              <w:top w:w="0" w:type="dxa"/>
              <w:left w:w="108" w:type="dxa"/>
              <w:bottom w:w="0" w:type="dxa"/>
              <w:right w:w="108" w:type="dxa"/>
            </w:tcMar>
            <w:hideMark/>
          </w:tcPr>
          <w:p w14:paraId="32233997"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839</w:t>
            </w:r>
          </w:p>
        </w:tc>
        <w:tc>
          <w:tcPr>
            <w:tcW w:w="2193" w:type="dxa"/>
            <w:tcBorders>
              <w:top w:val="nil"/>
              <w:left w:val="nil"/>
              <w:bottom w:val="nil"/>
              <w:right w:val="nil"/>
            </w:tcBorders>
            <w:tcMar>
              <w:top w:w="0" w:type="dxa"/>
              <w:left w:w="108" w:type="dxa"/>
              <w:bottom w:w="0" w:type="dxa"/>
              <w:right w:w="108" w:type="dxa"/>
            </w:tcMar>
            <w:hideMark/>
          </w:tcPr>
          <w:p w14:paraId="0C652848"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1,227</w:t>
            </w:r>
          </w:p>
        </w:tc>
      </w:tr>
      <w:tr w:rsidR="006E5C07" w:rsidRPr="006E5C07" w14:paraId="1EE91858" w14:textId="77777777" w:rsidTr="006E5C07">
        <w:tc>
          <w:tcPr>
            <w:tcW w:w="3436" w:type="dxa"/>
            <w:tcBorders>
              <w:top w:val="nil"/>
              <w:left w:val="nil"/>
              <w:bottom w:val="nil"/>
              <w:right w:val="nil"/>
            </w:tcBorders>
            <w:tcMar>
              <w:top w:w="0" w:type="dxa"/>
              <w:left w:w="108" w:type="dxa"/>
              <w:bottom w:w="0" w:type="dxa"/>
              <w:right w:w="108" w:type="dxa"/>
            </w:tcMar>
            <w:hideMark/>
          </w:tcPr>
          <w:p w14:paraId="30107675"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period</w:t>
            </w:r>
          </w:p>
        </w:tc>
        <w:tc>
          <w:tcPr>
            <w:tcW w:w="493" w:type="dxa"/>
            <w:tcBorders>
              <w:top w:val="nil"/>
              <w:left w:val="nil"/>
              <w:bottom w:val="nil"/>
              <w:right w:val="nil"/>
            </w:tcBorders>
            <w:tcMar>
              <w:top w:w="0" w:type="dxa"/>
              <w:left w:w="108" w:type="dxa"/>
              <w:bottom w:w="0" w:type="dxa"/>
              <w:right w:w="108" w:type="dxa"/>
            </w:tcMar>
            <w:hideMark/>
          </w:tcPr>
          <w:p w14:paraId="029D3602" w14:textId="77777777" w:rsidR="006E5C07" w:rsidRPr="006E5C07" w:rsidRDefault="006E5C07" w:rsidP="006E5C07">
            <w:pPr>
              <w:spacing w:after="0" w:line="240" w:lineRule="auto"/>
              <w:jc w:val="center"/>
              <w:rPr>
                <w:rFonts w:ascii="Calibri" w:eastAsia="Times New Roman" w:hAnsi="Calibri" w:cs="Calibri"/>
              </w:rPr>
            </w:pPr>
          </w:p>
        </w:tc>
        <w:tc>
          <w:tcPr>
            <w:tcW w:w="2194" w:type="dxa"/>
            <w:tcBorders>
              <w:top w:val="nil"/>
              <w:left w:val="nil"/>
              <w:bottom w:val="single" w:sz="12" w:space="0" w:color="auto"/>
              <w:right w:val="nil"/>
            </w:tcBorders>
            <w:tcMar>
              <w:top w:w="0" w:type="dxa"/>
              <w:left w:w="108" w:type="dxa"/>
              <w:bottom w:w="0" w:type="dxa"/>
              <w:right w:w="108" w:type="dxa"/>
            </w:tcMar>
            <w:hideMark/>
          </w:tcPr>
          <w:p w14:paraId="642D937C" w14:textId="77777777" w:rsidR="006E5C07" w:rsidRPr="006E5C07" w:rsidRDefault="006E5C07" w:rsidP="006E5C07">
            <w:pPr>
              <w:spacing w:after="0" w:line="240" w:lineRule="auto"/>
              <w:jc w:val="right"/>
              <w:rPr>
                <w:rFonts w:ascii="Calibri" w:eastAsia="Times New Roman" w:hAnsi="Calibri" w:cs="Calibri"/>
                <w:b/>
                <w:bCs/>
              </w:rPr>
            </w:pPr>
          </w:p>
        </w:tc>
        <w:tc>
          <w:tcPr>
            <w:tcW w:w="2193" w:type="dxa"/>
            <w:tcBorders>
              <w:top w:val="nil"/>
              <w:left w:val="nil"/>
              <w:bottom w:val="single" w:sz="12" w:space="0" w:color="auto"/>
              <w:right w:val="nil"/>
            </w:tcBorders>
            <w:tcMar>
              <w:top w:w="0" w:type="dxa"/>
              <w:left w:w="108" w:type="dxa"/>
              <w:bottom w:w="0" w:type="dxa"/>
              <w:right w:w="108" w:type="dxa"/>
            </w:tcMar>
            <w:hideMark/>
          </w:tcPr>
          <w:p w14:paraId="437FF50F" w14:textId="77777777" w:rsidR="006E5C07" w:rsidRPr="006E5C07" w:rsidRDefault="006E5C07" w:rsidP="006E5C07">
            <w:pPr>
              <w:spacing w:after="0" w:line="240" w:lineRule="auto"/>
              <w:jc w:val="right"/>
              <w:rPr>
                <w:rFonts w:ascii="Calibri" w:eastAsia="Times New Roman" w:hAnsi="Calibri" w:cs="Calibri"/>
                <w:b/>
                <w:bCs/>
              </w:rPr>
            </w:pPr>
          </w:p>
        </w:tc>
      </w:tr>
    </w:tbl>
    <w:p w14:paraId="6F579DEA"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0F5211D2" w14:textId="77777777" w:rsidR="006E5C07" w:rsidRPr="006E5C07" w:rsidRDefault="006E5C07" w:rsidP="006E5C07">
      <w:pPr>
        <w:spacing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9214" w:type="dxa"/>
        <w:tblInd w:w="-108" w:type="dxa"/>
        <w:tblCellMar>
          <w:left w:w="0" w:type="dxa"/>
          <w:right w:w="0" w:type="dxa"/>
        </w:tblCellMar>
        <w:tblLook w:val="04A0" w:firstRow="1" w:lastRow="0" w:firstColumn="1" w:lastColumn="0" w:noHBand="0" w:noVBand="1"/>
      </w:tblPr>
      <w:tblGrid>
        <w:gridCol w:w="3727"/>
        <w:gridCol w:w="535"/>
        <w:gridCol w:w="2374"/>
        <w:gridCol w:w="2578"/>
      </w:tblGrid>
      <w:tr w:rsidR="006E5C07" w:rsidRPr="006E5C07" w14:paraId="383572D8" w14:textId="77777777" w:rsidTr="006E5C07">
        <w:tc>
          <w:tcPr>
            <w:tcW w:w="3378" w:type="dxa"/>
            <w:tcMar>
              <w:top w:w="0" w:type="dxa"/>
              <w:left w:w="108" w:type="dxa"/>
              <w:bottom w:w="0" w:type="dxa"/>
              <w:right w:w="108" w:type="dxa"/>
            </w:tcMar>
            <w:hideMark/>
          </w:tcPr>
          <w:p w14:paraId="5A8269D9"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Reconciliation of operating profit to net</w:t>
            </w:r>
          </w:p>
        </w:tc>
        <w:tc>
          <w:tcPr>
            <w:tcW w:w="485" w:type="dxa"/>
            <w:tcMar>
              <w:top w:w="0" w:type="dxa"/>
              <w:left w:w="108" w:type="dxa"/>
              <w:bottom w:w="0" w:type="dxa"/>
              <w:right w:w="108" w:type="dxa"/>
            </w:tcMar>
            <w:hideMark/>
          </w:tcPr>
          <w:p w14:paraId="58238B63" w14:textId="77777777" w:rsidR="006E5C07" w:rsidRPr="006E5C07" w:rsidRDefault="006E5C07" w:rsidP="006E5C07">
            <w:pPr>
              <w:spacing w:after="0" w:line="240" w:lineRule="auto"/>
              <w:jc w:val="center"/>
              <w:rPr>
                <w:rFonts w:ascii="Calibri" w:eastAsia="Times New Roman" w:hAnsi="Calibri" w:cs="Calibri"/>
              </w:rPr>
            </w:pPr>
          </w:p>
        </w:tc>
        <w:tc>
          <w:tcPr>
            <w:tcW w:w="2151" w:type="dxa"/>
            <w:tcMar>
              <w:top w:w="0" w:type="dxa"/>
              <w:left w:w="108" w:type="dxa"/>
              <w:bottom w:w="0" w:type="dxa"/>
              <w:right w:w="108" w:type="dxa"/>
            </w:tcMar>
            <w:hideMark/>
          </w:tcPr>
          <w:p w14:paraId="66A741D5" w14:textId="77777777" w:rsidR="006E5C07" w:rsidRPr="006E5C07" w:rsidRDefault="006E5C07" w:rsidP="006E5C07">
            <w:pPr>
              <w:spacing w:after="0" w:line="240" w:lineRule="auto"/>
              <w:jc w:val="center"/>
              <w:rPr>
                <w:rFonts w:ascii="Calibri" w:eastAsia="Times New Roman" w:hAnsi="Calibri" w:cs="Calibri"/>
              </w:rPr>
            </w:pPr>
          </w:p>
        </w:tc>
        <w:tc>
          <w:tcPr>
            <w:tcW w:w="2336" w:type="dxa"/>
            <w:tcMar>
              <w:top w:w="0" w:type="dxa"/>
              <w:left w:w="108" w:type="dxa"/>
              <w:bottom w:w="0" w:type="dxa"/>
              <w:right w:w="108" w:type="dxa"/>
            </w:tcMar>
            <w:hideMark/>
          </w:tcPr>
          <w:p w14:paraId="399585A9" w14:textId="77777777" w:rsidR="006E5C07" w:rsidRPr="006E5C07" w:rsidRDefault="006E5C07" w:rsidP="006E5C07">
            <w:pPr>
              <w:spacing w:after="0" w:line="240" w:lineRule="auto"/>
              <w:jc w:val="center"/>
              <w:rPr>
                <w:rFonts w:ascii="Calibri" w:eastAsia="Times New Roman" w:hAnsi="Calibri" w:cs="Calibri"/>
              </w:rPr>
            </w:pPr>
          </w:p>
        </w:tc>
      </w:tr>
      <w:tr w:rsidR="006E5C07" w:rsidRPr="006E5C07" w14:paraId="29EC92AA" w14:textId="77777777" w:rsidTr="006E5C07">
        <w:tc>
          <w:tcPr>
            <w:tcW w:w="3378" w:type="dxa"/>
            <w:tcMar>
              <w:top w:w="0" w:type="dxa"/>
              <w:left w:w="108" w:type="dxa"/>
              <w:bottom w:w="0" w:type="dxa"/>
              <w:right w:w="108" w:type="dxa"/>
            </w:tcMar>
            <w:hideMark/>
          </w:tcPr>
          <w:p w14:paraId="7583A920"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cash flow from operating activities</w:t>
            </w:r>
          </w:p>
        </w:tc>
        <w:tc>
          <w:tcPr>
            <w:tcW w:w="485" w:type="dxa"/>
            <w:tcMar>
              <w:top w:w="0" w:type="dxa"/>
              <w:left w:w="108" w:type="dxa"/>
              <w:bottom w:w="0" w:type="dxa"/>
              <w:right w:w="108" w:type="dxa"/>
            </w:tcMar>
            <w:hideMark/>
          </w:tcPr>
          <w:p w14:paraId="56FC169A" w14:textId="77777777" w:rsidR="006E5C07" w:rsidRPr="006E5C07" w:rsidRDefault="006E5C07" w:rsidP="006E5C07">
            <w:pPr>
              <w:spacing w:after="0" w:line="240" w:lineRule="auto"/>
              <w:jc w:val="center"/>
              <w:rPr>
                <w:rFonts w:ascii="Calibri" w:eastAsia="Times New Roman" w:hAnsi="Calibri" w:cs="Calibri"/>
              </w:rPr>
            </w:pPr>
          </w:p>
        </w:tc>
        <w:tc>
          <w:tcPr>
            <w:tcW w:w="2151" w:type="dxa"/>
            <w:tcMar>
              <w:top w:w="0" w:type="dxa"/>
              <w:left w:w="108" w:type="dxa"/>
              <w:bottom w:w="0" w:type="dxa"/>
              <w:right w:w="108" w:type="dxa"/>
            </w:tcMar>
            <w:hideMark/>
          </w:tcPr>
          <w:p w14:paraId="1FFBF407" w14:textId="77777777" w:rsidR="006E5C07" w:rsidRPr="006E5C07" w:rsidRDefault="006E5C07" w:rsidP="006E5C07">
            <w:pPr>
              <w:spacing w:after="0" w:line="240" w:lineRule="auto"/>
              <w:jc w:val="center"/>
              <w:rPr>
                <w:rFonts w:ascii="Calibri" w:eastAsia="Times New Roman" w:hAnsi="Calibri" w:cs="Calibri"/>
              </w:rPr>
            </w:pPr>
          </w:p>
        </w:tc>
        <w:tc>
          <w:tcPr>
            <w:tcW w:w="2336" w:type="dxa"/>
            <w:tcMar>
              <w:top w:w="0" w:type="dxa"/>
              <w:left w:w="108" w:type="dxa"/>
              <w:bottom w:w="0" w:type="dxa"/>
              <w:right w:w="108" w:type="dxa"/>
            </w:tcMar>
            <w:hideMark/>
          </w:tcPr>
          <w:p w14:paraId="1FCD8178" w14:textId="77777777" w:rsidR="006E5C07" w:rsidRPr="006E5C07" w:rsidRDefault="006E5C07" w:rsidP="006E5C07">
            <w:pPr>
              <w:spacing w:after="0" w:line="240" w:lineRule="auto"/>
              <w:jc w:val="center"/>
              <w:rPr>
                <w:rFonts w:ascii="Calibri" w:eastAsia="Times New Roman" w:hAnsi="Calibri" w:cs="Calibri"/>
              </w:rPr>
            </w:pPr>
          </w:p>
        </w:tc>
      </w:tr>
      <w:tr w:rsidR="006E5C07" w:rsidRPr="006E5C07" w14:paraId="7BE04353" w14:textId="77777777" w:rsidTr="006E5C07">
        <w:tc>
          <w:tcPr>
            <w:tcW w:w="3378" w:type="dxa"/>
            <w:tcMar>
              <w:top w:w="0" w:type="dxa"/>
              <w:left w:w="108" w:type="dxa"/>
              <w:bottom w:w="0" w:type="dxa"/>
              <w:right w:w="108" w:type="dxa"/>
            </w:tcMar>
            <w:hideMark/>
          </w:tcPr>
          <w:p w14:paraId="73C354D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Operating (loss) / profit</w:t>
            </w:r>
          </w:p>
        </w:tc>
        <w:tc>
          <w:tcPr>
            <w:tcW w:w="485" w:type="dxa"/>
            <w:tcMar>
              <w:top w:w="0" w:type="dxa"/>
              <w:left w:w="108" w:type="dxa"/>
              <w:bottom w:w="0" w:type="dxa"/>
              <w:right w:w="108" w:type="dxa"/>
            </w:tcMar>
            <w:hideMark/>
          </w:tcPr>
          <w:p w14:paraId="279A3763" w14:textId="77777777" w:rsidR="006E5C07" w:rsidRPr="006E5C07" w:rsidRDefault="006E5C07" w:rsidP="006E5C07">
            <w:pPr>
              <w:spacing w:after="0" w:line="240" w:lineRule="auto"/>
              <w:jc w:val="center"/>
              <w:rPr>
                <w:rFonts w:ascii="Calibri" w:eastAsia="Times New Roman" w:hAnsi="Calibri" w:cs="Calibri"/>
              </w:rPr>
            </w:pPr>
          </w:p>
        </w:tc>
        <w:tc>
          <w:tcPr>
            <w:tcW w:w="2151" w:type="dxa"/>
            <w:tcMar>
              <w:top w:w="0" w:type="dxa"/>
              <w:left w:w="108" w:type="dxa"/>
              <w:bottom w:w="0" w:type="dxa"/>
              <w:right w:w="108" w:type="dxa"/>
            </w:tcMar>
            <w:hideMark/>
          </w:tcPr>
          <w:p w14:paraId="624B99D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(4,092)</w:t>
            </w:r>
          </w:p>
        </w:tc>
        <w:tc>
          <w:tcPr>
            <w:tcW w:w="2336" w:type="dxa"/>
            <w:tcMar>
              <w:top w:w="0" w:type="dxa"/>
              <w:left w:w="108" w:type="dxa"/>
              <w:bottom w:w="0" w:type="dxa"/>
              <w:right w:w="108" w:type="dxa"/>
            </w:tcMar>
            <w:hideMark/>
          </w:tcPr>
          <w:p w14:paraId="095ACFB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82</w:t>
            </w:r>
          </w:p>
        </w:tc>
      </w:tr>
      <w:tr w:rsidR="006E5C07" w:rsidRPr="006E5C07" w14:paraId="6B9CBA16" w14:textId="77777777" w:rsidTr="006E5C07">
        <w:tc>
          <w:tcPr>
            <w:tcW w:w="3378" w:type="dxa"/>
            <w:tcMar>
              <w:top w:w="0" w:type="dxa"/>
              <w:left w:w="108" w:type="dxa"/>
              <w:bottom w:w="0" w:type="dxa"/>
              <w:right w:w="108" w:type="dxa"/>
            </w:tcMar>
            <w:hideMark/>
          </w:tcPr>
          <w:p w14:paraId="6583B3CC"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Write off of goodwill</w:t>
            </w:r>
          </w:p>
        </w:tc>
        <w:tc>
          <w:tcPr>
            <w:tcW w:w="485" w:type="dxa"/>
            <w:tcMar>
              <w:top w:w="0" w:type="dxa"/>
              <w:left w:w="108" w:type="dxa"/>
              <w:bottom w:w="0" w:type="dxa"/>
              <w:right w:w="108" w:type="dxa"/>
            </w:tcMar>
            <w:hideMark/>
          </w:tcPr>
          <w:p w14:paraId="089581A3"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14</w:t>
            </w:r>
          </w:p>
        </w:tc>
        <w:tc>
          <w:tcPr>
            <w:tcW w:w="2151" w:type="dxa"/>
            <w:tcMar>
              <w:top w:w="0" w:type="dxa"/>
              <w:left w:w="108" w:type="dxa"/>
              <w:bottom w:w="0" w:type="dxa"/>
              <w:right w:w="108" w:type="dxa"/>
            </w:tcMar>
            <w:hideMark/>
          </w:tcPr>
          <w:p w14:paraId="6A9B0C9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1,100</w:t>
            </w:r>
          </w:p>
        </w:tc>
        <w:tc>
          <w:tcPr>
            <w:tcW w:w="2336" w:type="dxa"/>
            <w:tcMar>
              <w:top w:w="0" w:type="dxa"/>
              <w:left w:w="108" w:type="dxa"/>
              <w:bottom w:w="0" w:type="dxa"/>
              <w:right w:w="108" w:type="dxa"/>
            </w:tcMar>
            <w:hideMark/>
          </w:tcPr>
          <w:p w14:paraId="593F473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r>
      <w:tr w:rsidR="006E5C07" w:rsidRPr="006E5C07" w14:paraId="6932C1B7" w14:textId="77777777" w:rsidTr="006E5C07">
        <w:tc>
          <w:tcPr>
            <w:tcW w:w="3378" w:type="dxa"/>
            <w:tcMar>
              <w:top w:w="0" w:type="dxa"/>
              <w:left w:w="108" w:type="dxa"/>
              <w:bottom w:w="0" w:type="dxa"/>
              <w:right w:w="108" w:type="dxa"/>
            </w:tcMar>
            <w:hideMark/>
          </w:tcPr>
          <w:p w14:paraId="769BD068"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Amortisation of intangible assets</w:t>
            </w:r>
          </w:p>
        </w:tc>
        <w:tc>
          <w:tcPr>
            <w:tcW w:w="485" w:type="dxa"/>
            <w:tcMar>
              <w:top w:w="0" w:type="dxa"/>
              <w:left w:w="108" w:type="dxa"/>
              <w:bottom w:w="0" w:type="dxa"/>
              <w:right w:w="108" w:type="dxa"/>
            </w:tcMar>
            <w:hideMark/>
          </w:tcPr>
          <w:p w14:paraId="52970DB5"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15</w:t>
            </w:r>
          </w:p>
        </w:tc>
        <w:tc>
          <w:tcPr>
            <w:tcW w:w="2151" w:type="dxa"/>
            <w:tcMar>
              <w:top w:w="0" w:type="dxa"/>
              <w:left w:w="108" w:type="dxa"/>
              <w:bottom w:w="0" w:type="dxa"/>
              <w:right w:w="108" w:type="dxa"/>
            </w:tcMar>
            <w:hideMark/>
          </w:tcPr>
          <w:p w14:paraId="07F5B03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2336" w:type="dxa"/>
            <w:tcMar>
              <w:top w:w="0" w:type="dxa"/>
              <w:left w:w="108" w:type="dxa"/>
              <w:bottom w:w="0" w:type="dxa"/>
              <w:right w:w="108" w:type="dxa"/>
            </w:tcMar>
            <w:hideMark/>
          </w:tcPr>
          <w:p w14:paraId="7775470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w:t>
            </w:r>
          </w:p>
        </w:tc>
      </w:tr>
      <w:tr w:rsidR="006E5C07" w:rsidRPr="006E5C07" w14:paraId="1BDFF5B5" w14:textId="77777777" w:rsidTr="006E5C07">
        <w:tc>
          <w:tcPr>
            <w:tcW w:w="3378" w:type="dxa"/>
            <w:tcMar>
              <w:top w:w="0" w:type="dxa"/>
              <w:left w:w="108" w:type="dxa"/>
              <w:bottom w:w="0" w:type="dxa"/>
              <w:right w:w="108" w:type="dxa"/>
            </w:tcMar>
            <w:hideMark/>
          </w:tcPr>
          <w:p w14:paraId="5B3E7227"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Depreciation of property, plant &amp;</w:t>
            </w:r>
          </w:p>
        </w:tc>
        <w:tc>
          <w:tcPr>
            <w:tcW w:w="485" w:type="dxa"/>
            <w:tcMar>
              <w:top w:w="0" w:type="dxa"/>
              <w:left w:w="108" w:type="dxa"/>
              <w:bottom w:w="0" w:type="dxa"/>
              <w:right w:w="108" w:type="dxa"/>
            </w:tcMar>
            <w:hideMark/>
          </w:tcPr>
          <w:p w14:paraId="05AE38DC" w14:textId="77777777" w:rsidR="006E5C07" w:rsidRPr="006E5C07" w:rsidRDefault="006E5C07" w:rsidP="006E5C07">
            <w:pPr>
              <w:spacing w:after="0" w:line="240" w:lineRule="auto"/>
              <w:jc w:val="center"/>
              <w:rPr>
                <w:rFonts w:ascii="Calibri" w:eastAsia="Times New Roman" w:hAnsi="Calibri" w:cs="Calibri"/>
              </w:rPr>
            </w:pPr>
            <w:r w:rsidRPr="006E5C07">
              <w:rPr>
                <w:rFonts w:ascii="Gill Sans MT" w:eastAsia="Times New Roman" w:hAnsi="Gill Sans MT" w:cs="Calibri"/>
                <w:sz w:val="18"/>
                <w:szCs w:val="18"/>
              </w:rPr>
              <w:t>16</w:t>
            </w:r>
          </w:p>
        </w:tc>
        <w:tc>
          <w:tcPr>
            <w:tcW w:w="2151" w:type="dxa"/>
            <w:tcMar>
              <w:top w:w="0" w:type="dxa"/>
              <w:left w:w="108" w:type="dxa"/>
              <w:bottom w:w="0" w:type="dxa"/>
              <w:right w:w="108" w:type="dxa"/>
            </w:tcMar>
            <w:hideMark/>
          </w:tcPr>
          <w:p w14:paraId="07C7F89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326</w:t>
            </w:r>
          </w:p>
        </w:tc>
        <w:tc>
          <w:tcPr>
            <w:tcW w:w="2336" w:type="dxa"/>
            <w:tcMar>
              <w:top w:w="0" w:type="dxa"/>
              <w:left w:w="108" w:type="dxa"/>
              <w:bottom w:w="0" w:type="dxa"/>
              <w:right w:w="108" w:type="dxa"/>
            </w:tcMar>
            <w:hideMark/>
          </w:tcPr>
          <w:p w14:paraId="1D99445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551</w:t>
            </w:r>
          </w:p>
        </w:tc>
      </w:tr>
      <w:tr w:rsidR="006E5C07" w:rsidRPr="006E5C07" w14:paraId="74DA13E2" w14:textId="77777777" w:rsidTr="006E5C07">
        <w:tc>
          <w:tcPr>
            <w:tcW w:w="3378" w:type="dxa"/>
            <w:tcMar>
              <w:top w:w="0" w:type="dxa"/>
              <w:left w:w="108" w:type="dxa"/>
              <w:bottom w:w="0" w:type="dxa"/>
              <w:right w:w="108" w:type="dxa"/>
            </w:tcMar>
            <w:hideMark/>
          </w:tcPr>
          <w:p w14:paraId="79E1DF6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Equipment</w:t>
            </w:r>
          </w:p>
        </w:tc>
        <w:tc>
          <w:tcPr>
            <w:tcW w:w="485" w:type="dxa"/>
            <w:tcMar>
              <w:top w:w="0" w:type="dxa"/>
              <w:left w:w="108" w:type="dxa"/>
              <w:bottom w:w="0" w:type="dxa"/>
              <w:right w:w="108" w:type="dxa"/>
            </w:tcMar>
            <w:hideMark/>
          </w:tcPr>
          <w:p w14:paraId="6943F9D5" w14:textId="77777777" w:rsidR="006E5C07" w:rsidRPr="006E5C07" w:rsidRDefault="006E5C07" w:rsidP="006E5C07">
            <w:pPr>
              <w:spacing w:after="0" w:line="240" w:lineRule="auto"/>
              <w:jc w:val="center"/>
              <w:rPr>
                <w:rFonts w:ascii="Calibri" w:eastAsia="Times New Roman" w:hAnsi="Calibri" w:cs="Calibri"/>
              </w:rPr>
            </w:pPr>
          </w:p>
        </w:tc>
        <w:tc>
          <w:tcPr>
            <w:tcW w:w="2151" w:type="dxa"/>
            <w:tcMar>
              <w:top w:w="0" w:type="dxa"/>
              <w:left w:w="108" w:type="dxa"/>
              <w:bottom w:w="0" w:type="dxa"/>
              <w:right w:w="108" w:type="dxa"/>
            </w:tcMar>
            <w:hideMark/>
          </w:tcPr>
          <w:p w14:paraId="6FD45FFB" w14:textId="77777777" w:rsidR="006E5C07" w:rsidRPr="006E5C07" w:rsidRDefault="006E5C07" w:rsidP="006E5C07">
            <w:pPr>
              <w:spacing w:after="0" w:line="240" w:lineRule="auto"/>
              <w:jc w:val="right"/>
              <w:rPr>
                <w:rFonts w:ascii="Calibri" w:eastAsia="Times New Roman" w:hAnsi="Calibri" w:cs="Calibri"/>
              </w:rPr>
            </w:pPr>
          </w:p>
        </w:tc>
        <w:tc>
          <w:tcPr>
            <w:tcW w:w="2336" w:type="dxa"/>
            <w:tcMar>
              <w:top w:w="0" w:type="dxa"/>
              <w:left w:w="108" w:type="dxa"/>
              <w:bottom w:w="0" w:type="dxa"/>
              <w:right w:w="108" w:type="dxa"/>
            </w:tcMar>
            <w:hideMark/>
          </w:tcPr>
          <w:p w14:paraId="417306D6"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64D83D5A" w14:textId="77777777" w:rsidTr="006E5C07">
        <w:tc>
          <w:tcPr>
            <w:tcW w:w="3378" w:type="dxa"/>
            <w:tcMar>
              <w:top w:w="0" w:type="dxa"/>
              <w:left w:w="108" w:type="dxa"/>
              <w:bottom w:w="0" w:type="dxa"/>
              <w:right w:w="108" w:type="dxa"/>
            </w:tcMar>
            <w:hideMark/>
          </w:tcPr>
          <w:p w14:paraId="6D39C4A1"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Effect of foreign exchange rate moves</w:t>
            </w:r>
          </w:p>
        </w:tc>
        <w:tc>
          <w:tcPr>
            <w:tcW w:w="485" w:type="dxa"/>
            <w:tcMar>
              <w:top w:w="0" w:type="dxa"/>
              <w:left w:w="108" w:type="dxa"/>
              <w:bottom w:w="0" w:type="dxa"/>
              <w:right w:w="108" w:type="dxa"/>
            </w:tcMar>
            <w:hideMark/>
          </w:tcPr>
          <w:p w14:paraId="5C393452" w14:textId="77777777" w:rsidR="006E5C07" w:rsidRPr="006E5C07" w:rsidRDefault="006E5C07" w:rsidP="006E5C07">
            <w:pPr>
              <w:spacing w:after="0" w:line="240" w:lineRule="auto"/>
              <w:jc w:val="center"/>
              <w:rPr>
                <w:rFonts w:ascii="Calibri" w:eastAsia="Times New Roman" w:hAnsi="Calibri" w:cs="Calibri"/>
              </w:rPr>
            </w:pPr>
          </w:p>
        </w:tc>
        <w:tc>
          <w:tcPr>
            <w:tcW w:w="2151" w:type="dxa"/>
            <w:tcMar>
              <w:top w:w="0" w:type="dxa"/>
              <w:left w:w="108" w:type="dxa"/>
              <w:bottom w:w="0" w:type="dxa"/>
              <w:right w:w="108" w:type="dxa"/>
            </w:tcMar>
            <w:hideMark/>
          </w:tcPr>
          <w:p w14:paraId="199913E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(33)</w:t>
            </w:r>
          </w:p>
        </w:tc>
        <w:tc>
          <w:tcPr>
            <w:tcW w:w="2336" w:type="dxa"/>
            <w:tcMar>
              <w:top w:w="0" w:type="dxa"/>
              <w:left w:w="108" w:type="dxa"/>
              <w:bottom w:w="0" w:type="dxa"/>
              <w:right w:w="108" w:type="dxa"/>
            </w:tcMar>
            <w:hideMark/>
          </w:tcPr>
          <w:p w14:paraId="209DE7F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(13)</w:t>
            </w:r>
          </w:p>
        </w:tc>
      </w:tr>
      <w:tr w:rsidR="006E5C07" w:rsidRPr="006E5C07" w14:paraId="5C634400" w14:textId="77777777" w:rsidTr="006E5C07">
        <w:tc>
          <w:tcPr>
            <w:tcW w:w="3378" w:type="dxa"/>
            <w:tcMar>
              <w:top w:w="0" w:type="dxa"/>
              <w:left w:w="108" w:type="dxa"/>
              <w:bottom w:w="0" w:type="dxa"/>
              <w:right w:w="108" w:type="dxa"/>
            </w:tcMar>
            <w:hideMark/>
          </w:tcPr>
          <w:p w14:paraId="56B68AFF"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Decrease in receivables</w:t>
            </w:r>
          </w:p>
        </w:tc>
        <w:tc>
          <w:tcPr>
            <w:tcW w:w="485" w:type="dxa"/>
            <w:tcMar>
              <w:top w:w="0" w:type="dxa"/>
              <w:left w:w="108" w:type="dxa"/>
              <w:bottom w:w="0" w:type="dxa"/>
              <w:right w:w="108" w:type="dxa"/>
            </w:tcMar>
            <w:hideMark/>
          </w:tcPr>
          <w:p w14:paraId="33FF48A8" w14:textId="77777777" w:rsidR="006E5C07" w:rsidRPr="006E5C07" w:rsidRDefault="006E5C07" w:rsidP="006E5C07">
            <w:pPr>
              <w:spacing w:after="0" w:line="240" w:lineRule="auto"/>
              <w:jc w:val="center"/>
              <w:rPr>
                <w:rFonts w:ascii="Calibri" w:eastAsia="Times New Roman" w:hAnsi="Calibri" w:cs="Calibri"/>
              </w:rPr>
            </w:pPr>
          </w:p>
        </w:tc>
        <w:tc>
          <w:tcPr>
            <w:tcW w:w="2151" w:type="dxa"/>
            <w:tcMar>
              <w:top w:w="0" w:type="dxa"/>
              <w:left w:w="108" w:type="dxa"/>
              <w:bottom w:w="0" w:type="dxa"/>
              <w:right w:w="108" w:type="dxa"/>
            </w:tcMar>
            <w:hideMark/>
          </w:tcPr>
          <w:p w14:paraId="63931DB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1,438</w:t>
            </w:r>
          </w:p>
        </w:tc>
        <w:tc>
          <w:tcPr>
            <w:tcW w:w="2336" w:type="dxa"/>
            <w:tcMar>
              <w:top w:w="0" w:type="dxa"/>
              <w:left w:w="108" w:type="dxa"/>
              <w:bottom w:w="0" w:type="dxa"/>
              <w:right w:w="108" w:type="dxa"/>
            </w:tcMar>
            <w:hideMark/>
          </w:tcPr>
          <w:p w14:paraId="1DE7B04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133</w:t>
            </w:r>
          </w:p>
        </w:tc>
      </w:tr>
      <w:tr w:rsidR="006E5C07" w:rsidRPr="006E5C07" w14:paraId="71F4274E" w14:textId="77777777" w:rsidTr="006E5C07">
        <w:trPr>
          <w:trHeight w:val="113"/>
        </w:trPr>
        <w:tc>
          <w:tcPr>
            <w:tcW w:w="3378" w:type="dxa"/>
            <w:tcMar>
              <w:top w:w="0" w:type="dxa"/>
              <w:left w:w="108" w:type="dxa"/>
              <w:bottom w:w="0" w:type="dxa"/>
              <w:right w:w="108" w:type="dxa"/>
            </w:tcMar>
            <w:hideMark/>
          </w:tcPr>
          <w:p w14:paraId="67349F85"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Decrease in payables</w:t>
            </w:r>
          </w:p>
        </w:tc>
        <w:tc>
          <w:tcPr>
            <w:tcW w:w="485" w:type="dxa"/>
            <w:tcMar>
              <w:top w:w="0" w:type="dxa"/>
              <w:left w:w="108" w:type="dxa"/>
              <w:bottom w:w="0" w:type="dxa"/>
              <w:right w:w="108" w:type="dxa"/>
            </w:tcMar>
            <w:hideMark/>
          </w:tcPr>
          <w:p w14:paraId="68D8A441" w14:textId="77777777" w:rsidR="006E5C07" w:rsidRPr="006E5C07" w:rsidRDefault="006E5C07" w:rsidP="006E5C07">
            <w:pPr>
              <w:spacing w:after="0" w:line="240" w:lineRule="auto"/>
              <w:rPr>
                <w:rFonts w:ascii="Calibri" w:eastAsia="Times New Roman" w:hAnsi="Calibri" w:cs="Calibri"/>
              </w:rPr>
            </w:pPr>
          </w:p>
        </w:tc>
        <w:tc>
          <w:tcPr>
            <w:tcW w:w="2151" w:type="dxa"/>
            <w:tcBorders>
              <w:top w:val="nil"/>
              <w:left w:val="nil"/>
              <w:bottom w:val="single" w:sz="8" w:space="0" w:color="auto"/>
              <w:right w:val="nil"/>
            </w:tcBorders>
            <w:tcMar>
              <w:top w:w="0" w:type="dxa"/>
              <w:left w:w="108" w:type="dxa"/>
              <w:bottom w:w="0" w:type="dxa"/>
              <w:right w:w="108" w:type="dxa"/>
            </w:tcMar>
            <w:hideMark/>
          </w:tcPr>
          <w:p w14:paraId="5A2243E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76</w:t>
            </w:r>
          </w:p>
        </w:tc>
        <w:tc>
          <w:tcPr>
            <w:tcW w:w="2336" w:type="dxa"/>
            <w:tcBorders>
              <w:top w:val="nil"/>
              <w:left w:val="nil"/>
              <w:bottom w:val="single" w:sz="8" w:space="0" w:color="auto"/>
              <w:right w:val="nil"/>
            </w:tcBorders>
            <w:tcMar>
              <w:top w:w="0" w:type="dxa"/>
              <w:left w:w="108" w:type="dxa"/>
              <w:bottom w:w="0" w:type="dxa"/>
              <w:right w:w="108" w:type="dxa"/>
            </w:tcMar>
            <w:hideMark/>
          </w:tcPr>
          <w:p w14:paraId="6F92E8A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(506)</w:t>
            </w:r>
          </w:p>
        </w:tc>
      </w:tr>
      <w:tr w:rsidR="006E5C07" w:rsidRPr="006E5C07" w14:paraId="380FA62B" w14:textId="77777777" w:rsidTr="006E5C07">
        <w:trPr>
          <w:trHeight w:val="113"/>
        </w:trPr>
        <w:tc>
          <w:tcPr>
            <w:tcW w:w="3378" w:type="dxa"/>
            <w:tcMar>
              <w:top w:w="0" w:type="dxa"/>
              <w:left w:w="108" w:type="dxa"/>
              <w:bottom w:w="0" w:type="dxa"/>
              <w:right w:w="108" w:type="dxa"/>
            </w:tcMar>
            <w:hideMark/>
          </w:tcPr>
          <w:p w14:paraId="3E94D70B"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Cash (outflow) / inflow from operating activities</w:t>
            </w:r>
          </w:p>
        </w:tc>
        <w:tc>
          <w:tcPr>
            <w:tcW w:w="485" w:type="dxa"/>
            <w:tcMar>
              <w:top w:w="0" w:type="dxa"/>
              <w:left w:w="108" w:type="dxa"/>
              <w:bottom w:w="0" w:type="dxa"/>
              <w:right w:w="108" w:type="dxa"/>
            </w:tcMar>
            <w:hideMark/>
          </w:tcPr>
          <w:p w14:paraId="6F0A96A3" w14:textId="77777777" w:rsidR="006E5C07" w:rsidRPr="006E5C07" w:rsidRDefault="006E5C07" w:rsidP="006E5C07">
            <w:pPr>
              <w:spacing w:after="0" w:line="240" w:lineRule="auto"/>
              <w:rPr>
                <w:rFonts w:ascii="Calibri" w:eastAsia="Times New Roman" w:hAnsi="Calibri" w:cs="Calibri"/>
                <w:b/>
                <w:bCs/>
              </w:rPr>
            </w:pPr>
          </w:p>
        </w:tc>
        <w:tc>
          <w:tcPr>
            <w:tcW w:w="2151" w:type="dxa"/>
            <w:tcBorders>
              <w:top w:val="nil"/>
              <w:left w:val="nil"/>
              <w:bottom w:val="single" w:sz="8" w:space="0" w:color="auto"/>
              <w:right w:val="nil"/>
            </w:tcBorders>
            <w:tcMar>
              <w:top w:w="0" w:type="dxa"/>
              <w:left w:w="108" w:type="dxa"/>
              <w:bottom w:w="0" w:type="dxa"/>
              <w:right w:w="108" w:type="dxa"/>
            </w:tcMar>
            <w:hideMark/>
          </w:tcPr>
          <w:p w14:paraId="0441DCA9"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(1,185)</w:t>
            </w:r>
          </w:p>
        </w:tc>
        <w:tc>
          <w:tcPr>
            <w:tcW w:w="2336" w:type="dxa"/>
            <w:tcBorders>
              <w:top w:val="nil"/>
              <w:left w:val="nil"/>
              <w:bottom w:val="single" w:sz="8" w:space="0" w:color="auto"/>
              <w:right w:val="nil"/>
            </w:tcBorders>
            <w:tcMar>
              <w:top w:w="0" w:type="dxa"/>
              <w:left w:w="108" w:type="dxa"/>
              <w:bottom w:w="0" w:type="dxa"/>
              <w:right w:w="108" w:type="dxa"/>
            </w:tcMar>
            <w:hideMark/>
          </w:tcPr>
          <w:p w14:paraId="6DBAF32B"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252</w:t>
            </w:r>
          </w:p>
        </w:tc>
      </w:tr>
    </w:tbl>
    <w:p w14:paraId="4B6688AD" w14:textId="77777777" w:rsidR="006E5C07" w:rsidRPr="006E5C07" w:rsidRDefault="006E5C07" w:rsidP="006E5C07">
      <w:pPr>
        <w:spacing w:after="200" w:line="253" w:lineRule="atLeast"/>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37963282" w14:textId="77777777" w:rsidR="006E5C07" w:rsidRPr="006E5C07" w:rsidRDefault="006E5C07" w:rsidP="006E5C07">
      <w:pPr>
        <w:spacing w:after="200" w:line="253" w:lineRule="atLeast"/>
        <w:rPr>
          <w:rFonts w:ascii="Calibri" w:eastAsia="Times New Roman" w:hAnsi="Calibri" w:cs="Calibri"/>
          <w:color w:val="16202C"/>
          <w:u w:val="single"/>
        </w:rPr>
      </w:pPr>
      <w:r w:rsidRPr="006E5C07">
        <w:rPr>
          <w:rFonts w:ascii="Gill Sans MT" w:eastAsia="Times New Roman" w:hAnsi="Gill Sans MT" w:cs="Calibri"/>
          <w:color w:val="16202C"/>
          <w:sz w:val="18"/>
          <w:szCs w:val="18"/>
          <w:u w:val="single"/>
        </w:rPr>
        <w:t>Consolidated Statement of Changes in Equity</w:t>
      </w:r>
    </w:p>
    <w:p w14:paraId="181C8104" w14:textId="77777777" w:rsidR="006E5C07" w:rsidRPr="006E5C07" w:rsidRDefault="006E5C07" w:rsidP="006E5C07">
      <w:pPr>
        <w:spacing w:after="200" w:line="253" w:lineRule="atLeast"/>
        <w:rPr>
          <w:rFonts w:ascii="Calibri" w:eastAsia="Times New Roman" w:hAnsi="Calibri" w:cs="Calibri"/>
          <w:color w:val="16202C"/>
          <w:u w:val="single"/>
        </w:rPr>
      </w:pPr>
      <w:r w:rsidRPr="006E5C07">
        <w:rPr>
          <w:rFonts w:ascii="Gill Sans MT" w:eastAsia="Times New Roman" w:hAnsi="Gill Sans MT" w:cs="Calibri"/>
          <w:color w:val="16202C"/>
          <w:sz w:val="18"/>
          <w:szCs w:val="18"/>
          <w:u w:val="single"/>
        </w:rPr>
        <w:lastRenderedPageBreak/>
        <w:t>For the 12 months ended 31 December 2020</w:t>
      </w:r>
    </w:p>
    <w:p w14:paraId="188E3D7D" w14:textId="77777777" w:rsidR="006E5C07" w:rsidRPr="006E5C07" w:rsidRDefault="006E5C07" w:rsidP="006E5C07">
      <w:pPr>
        <w:spacing w:line="253" w:lineRule="atLeast"/>
        <w:ind w:left="4320" w:firstLine="720"/>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2047"/>
        <w:gridCol w:w="678"/>
        <w:gridCol w:w="222"/>
        <w:gridCol w:w="871"/>
        <w:gridCol w:w="222"/>
        <w:gridCol w:w="766"/>
        <w:gridCol w:w="267"/>
        <w:gridCol w:w="856"/>
        <w:gridCol w:w="222"/>
        <w:gridCol w:w="1000"/>
        <w:gridCol w:w="222"/>
        <w:gridCol w:w="824"/>
      </w:tblGrid>
      <w:tr w:rsidR="006E5C07" w:rsidRPr="006E5C07" w14:paraId="332A547E" w14:textId="77777777" w:rsidTr="006E5C07">
        <w:tc>
          <w:tcPr>
            <w:tcW w:w="2047" w:type="dxa"/>
            <w:tcMar>
              <w:top w:w="0" w:type="dxa"/>
              <w:left w:w="108" w:type="dxa"/>
              <w:bottom w:w="0" w:type="dxa"/>
              <w:right w:w="108" w:type="dxa"/>
            </w:tcMar>
            <w:hideMark/>
          </w:tcPr>
          <w:p w14:paraId="23D99F61" w14:textId="77777777" w:rsidR="006E5C07" w:rsidRPr="006E5C07" w:rsidRDefault="006E5C07" w:rsidP="006E5C07">
            <w:pPr>
              <w:spacing w:after="0" w:line="240" w:lineRule="auto"/>
              <w:rPr>
                <w:rFonts w:ascii="Calibri" w:eastAsia="Times New Roman" w:hAnsi="Calibri" w:cs="Calibri"/>
              </w:rPr>
            </w:pPr>
          </w:p>
        </w:tc>
        <w:tc>
          <w:tcPr>
            <w:tcW w:w="498" w:type="dxa"/>
            <w:tcMar>
              <w:top w:w="0" w:type="dxa"/>
              <w:left w:w="108" w:type="dxa"/>
              <w:bottom w:w="0" w:type="dxa"/>
              <w:right w:w="108" w:type="dxa"/>
            </w:tcMar>
            <w:hideMark/>
          </w:tcPr>
          <w:p w14:paraId="6EC4243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Share</w:t>
            </w:r>
          </w:p>
        </w:tc>
        <w:tc>
          <w:tcPr>
            <w:tcW w:w="63" w:type="dxa"/>
            <w:tcMar>
              <w:top w:w="0" w:type="dxa"/>
              <w:left w:w="108" w:type="dxa"/>
              <w:bottom w:w="0" w:type="dxa"/>
              <w:right w:w="108" w:type="dxa"/>
            </w:tcMar>
            <w:hideMark/>
          </w:tcPr>
          <w:p w14:paraId="75ADC22B" w14:textId="77777777" w:rsidR="006E5C07" w:rsidRPr="006E5C07" w:rsidRDefault="006E5C07" w:rsidP="006E5C07">
            <w:pPr>
              <w:spacing w:after="0" w:line="240" w:lineRule="auto"/>
              <w:jc w:val="right"/>
              <w:rPr>
                <w:rFonts w:ascii="Calibri" w:eastAsia="Times New Roman" w:hAnsi="Calibri" w:cs="Calibri"/>
              </w:rPr>
            </w:pPr>
          </w:p>
        </w:tc>
        <w:tc>
          <w:tcPr>
            <w:tcW w:w="780" w:type="dxa"/>
            <w:tcMar>
              <w:top w:w="0" w:type="dxa"/>
              <w:left w:w="108" w:type="dxa"/>
              <w:bottom w:w="0" w:type="dxa"/>
              <w:right w:w="108" w:type="dxa"/>
            </w:tcMar>
            <w:hideMark/>
          </w:tcPr>
          <w:p w14:paraId="25FEDF6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Share</w:t>
            </w:r>
          </w:p>
        </w:tc>
        <w:tc>
          <w:tcPr>
            <w:tcW w:w="63" w:type="dxa"/>
            <w:tcMar>
              <w:top w:w="0" w:type="dxa"/>
              <w:left w:w="108" w:type="dxa"/>
              <w:bottom w:w="0" w:type="dxa"/>
              <w:right w:w="108" w:type="dxa"/>
            </w:tcMar>
            <w:hideMark/>
          </w:tcPr>
          <w:p w14:paraId="3DCCA4DE" w14:textId="77777777" w:rsidR="006E5C07" w:rsidRPr="006E5C07" w:rsidRDefault="006E5C07" w:rsidP="006E5C07">
            <w:pPr>
              <w:spacing w:after="0" w:line="240" w:lineRule="auto"/>
              <w:jc w:val="right"/>
              <w:rPr>
                <w:rFonts w:ascii="Calibri" w:eastAsia="Times New Roman" w:hAnsi="Calibri" w:cs="Calibri"/>
              </w:rPr>
            </w:pPr>
          </w:p>
        </w:tc>
        <w:tc>
          <w:tcPr>
            <w:tcW w:w="639" w:type="dxa"/>
            <w:tcMar>
              <w:top w:w="0" w:type="dxa"/>
              <w:left w:w="108" w:type="dxa"/>
              <w:bottom w:w="0" w:type="dxa"/>
              <w:right w:w="108" w:type="dxa"/>
            </w:tcMar>
            <w:hideMark/>
          </w:tcPr>
          <w:p w14:paraId="6EDDB28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Special </w:t>
            </w:r>
          </w:p>
        </w:tc>
        <w:tc>
          <w:tcPr>
            <w:tcW w:w="68" w:type="dxa"/>
            <w:tcMar>
              <w:top w:w="0" w:type="dxa"/>
              <w:left w:w="108" w:type="dxa"/>
              <w:bottom w:w="0" w:type="dxa"/>
              <w:right w:w="108" w:type="dxa"/>
            </w:tcMar>
            <w:hideMark/>
          </w:tcPr>
          <w:p w14:paraId="4A1816F4" w14:textId="77777777" w:rsidR="006E5C07" w:rsidRPr="006E5C07" w:rsidRDefault="006E5C07" w:rsidP="006E5C07">
            <w:pPr>
              <w:spacing w:after="0" w:line="240" w:lineRule="auto"/>
              <w:jc w:val="right"/>
              <w:rPr>
                <w:rFonts w:ascii="Calibri" w:eastAsia="Times New Roman" w:hAnsi="Calibri" w:cs="Calibri"/>
              </w:rPr>
            </w:pPr>
          </w:p>
        </w:tc>
        <w:tc>
          <w:tcPr>
            <w:tcW w:w="772" w:type="dxa"/>
            <w:tcMar>
              <w:top w:w="0" w:type="dxa"/>
              <w:left w:w="108" w:type="dxa"/>
              <w:bottom w:w="0" w:type="dxa"/>
              <w:right w:w="108" w:type="dxa"/>
            </w:tcMar>
            <w:hideMark/>
          </w:tcPr>
          <w:p w14:paraId="193563F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Retained</w:t>
            </w:r>
          </w:p>
        </w:tc>
        <w:tc>
          <w:tcPr>
            <w:tcW w:w="67" w:type="dxa"/>
            <w:tcMar>
              <w:top w:w="0" w:type="dxa"/>
              <w:left w:w="108" w:type="dxa"/>
              <w:bottom w:w="0" w:type="dxa"/>
              <w:right w:w="108" w:type="dxa"/>
            </w:tcMar>
            <w:hideMark/>
          </w:tcPr>
          <w:p w14:paraId="3049901E"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112A930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Non-</w:t>
            </w:r>
          </w:p>
        </w:tc>
        <w:tc>
          <w:tcPr>
            <w:tcW w:w="20" w:type="dxa"/>
            <w:tcMar>
              <w:top w:w="0" w:type="dxa"/>
              <w:left w:w="108" w:type="dxa"/>
              <w:bottom w:w="0" w:type="dxa"/>
              <w:right w:w="108" w:type="dxa"/>
            </w:tcMar>
            <w:hideMark/>
          </w:tcPr>
          <w:p w14:paraId="295691D7" w14:textId="77777777" w:rsidR="006E5C07" w:rsidRPr="006E5C07" w:rsidRDefault="006E5C07" w:rsidP="006E5C07">
            <w:pPr>
              <w:spacing w:after="0" w:line="240" w:lineRule="auto"/>
              <w:jc w:val="right"/>
              <w:rPr>
                <w:rFonts w:ascii="Calibri" w:eastAsia="Times New Roman" w:hAnsi="Calibri" w:cs="Calibri"/>
              </w:rPr>
            </w:pPr>
          </w:p>
        </w:tc>
        <w:tc>
          <w:tcPr>
            <w:tcW w:w="824" w:type="dxa"/>
            <w:tcMar>
              <w:top w:w="0" w:type="dxa"/>
              <w:left w:w="108" w:type="dxa"/>
              <w:bottom w:w="0" w:type="dxa"/>
              <w:right w:w="108" w:type="dxa"/>
            </w:tcMar>
            <w:hideMark/>
          </w:tcPr>
          <w:p w14:paraId="79259DF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Total</w:t>
            </w:r>
          </w:p>
        </w:tc>
      </w:tr>
      <w:tr w:rsidR="006E5C07" w:rsidRPr="006E5C07" w14:paraId="6D9B21F0" w14:textId="77777777" w:rsidTr="006E5C07">
        <w:tc>
          <w:tcPr>
            <w:tcW w:w="2047" w:type="dxa"/>
            <w:tcMar>
              <w:top w:w="0" w:type="dxa"/>
              <w:left w:w="108" w:type="dxa"/>
              <w:bottom w:w="0" w:type="dxa"/>
              <w:right w:w="108" w:type="dxa"/>
            </w:tcMar>
            <w:hideMark/>
          </w:tcPr>
          <w:p w14:paraId="79F82323" w14:textId="77777777" w:rsidR="006E5C07" w:rsidRPr="006E5C07" w:rsidRDefault="006E5C07" w:rsidP="006E5C07">
            <w:pPr>
              <w:spacing w:after="0" w:line="240" w:lineRule="auto"/>
              <w:rPr>
                <w:rFonts w:ascii="Calibri" w:eastAsia="Times New Roman" w:hAnsi="Calibri" w:cs="Calibri"/>
              </w:rPr>
            </w:pPr>
          </w:p>
        </w:tc>
        <w:tc>
          <w:tcPr>
            <w:tcW w:w="498" w:type="dxa"/>
            <w:tcMar>
              <w:top w:w="0" w:type="dxa"/>
              <w:left w:w="108" w:type="dxa"/>
              <w:bottom w:w="0" w:type="dxa"/>
              <w:right w:w="108" w:type="dxa"/>
            </w:tcMar>
            <w:hideMark/>
          </w:tcPr>
          <w:p w14:paraId="3F68ECD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capital</w:t>
            </w:r>
          </w:p>
        </w:tc>
        <w:tc>
          <w:tcPr>
            <w:tcW w:w="63" w:type="dxa"/>
            <w:tcMar>
              <w:top w:w="0" w:type="dxa"/>
              <w:left w:w="108" w:type="dxa"/>
              <w:bottom w:w="0" w:type="dxa"/>
              <w:right w:w="108" w:type="dxa"/>
            </w:tcMar>
            <w:hideMark/>
          </w:tcPr>
          <w:p w14:paraId="375339D8" w14:textId="77777777" w:rsidR="006E5C07" w:rsidRPr="006E5C07" w:rsidRDefault="006E5C07" w:rsidP="006E5C07">
            <w:pPr>
              <w:spacing w:after="0" w:line="240" w:lineRule="auto"/>
              <w:jc w:val="right"/>
              <w:rPr>
                <w:rFonts w:ascii="Calibri" w:eastAsia="Times New Roman" w:hAnsi="Calibri" w:cs="Calibri"/>
              </w:rPr>
            </w:pPr>
          </w:p>
        </w:tc>
        <w:tc>
          <w:tcPr>
            <w:tcW w:w="780" w:type="dxa"/>
            <w:tcMar>
              <w:top w:w="0" w:type="dxa"/>
              <w:left w:w="108" w:type="dxa"/>
              <w:bottom w:w="0" w:type="dxa"/>
              <w:right w:w="108" w:type="dxa"/>
            </w:tcMar>
            <w:hideMark/>
          </w:tcPr>
          <w:p w14:paraId="0EDED45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premium</w:t>
            </w:r>
          </w:p>
        </w:tc>
        <w:tc>
          <w:tcPr>
            <w:tcW w:w="63" w:type="dxa"/>
            <w:tcMar>
              <w:top w:w="0" w:type="dxa"/>
              <w:left w:w="108" w:type="dxa"/>
              <w:bottom w:w="0" w:type="dxa"/>
              <w:right w:w="108" w:type="dxa"/>
            </w:tcMar>
            <w:hideMark/>
          </w:tcPr>
          <w:p w14:paraId="15858C71" w14:textId="77777777" w:rsidR="006E5C07" w:rsidRPr="006E5C07" w:rsidRDefault="006E5C07" w:rsidP="006E5C07">
            <w:pPr>
              <w:spacing w:after="0" w:line="240" w:lineRule="auto"/>
              <w:jc w:val="right"/>
              <w:rPr>
                <w:rFonts w:ascii="Calibri" w:eastAsia="Times New Roman" w:hAnsi="Calibri" w:cs="Calibri"/>
              </w:rPr>
            </w:pPr>
          </w:p>
        </w:tc>
        <w:tc>
          <w:tcPr>
            <w:tcW w:w="639" w:type="dxa"/>
            <w:tcMar>
              <w:top w:w="0" w:type="dxa"/>
              <w:left w:w="108" w:type="dxa"/>
              <w:bottom w:w="0" w:type="dxa"/>
              <w:right w:w="108" w:type="dxa"/>
            </w:tcMar>
            <w:hideMark/>
          </w:tcPr>
          <w:p w14:paraId="3F69755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reserve</w:t>
            </w:r>
          </w:p>
        </w:tc>
        <w:tc>
          <w:tcPr>
            <w:tcW w:w="68" w:type="dxa"/>
            <w:tcMar>
              <w:top w:w="0" w:type="dxa"/>
              <w:left w:w="108" w:type="dxa"/>
              <w:bottom w:w="0" w:type="dxa"/>
              <w:right w:w="108" w:type="dxa"/>
            </w:tcMar>
            <w:hideMark/>
          </w:tcPr>
          <w:p w14:paraId="4BC6429F" w14:textId="77777777" w:rsidR="006E5C07" w:rsidRPr="006E5C07" w:rsidRDefault="006E5C07" w:rsidP="006E5C07">
            <w:pPr>
              <w:spacing w:after="0" w:line="240" w:lineRule="auto"/>
              <w:jc w:val="right"/>
              <w:rPr>
                <w:rFonts w:ascii="Calibri" w:eastAsia="Times New Roman" w:hAnsi="Calibri" w:cs="Calibri"/>
              </w:rPr>
            </w:pPr>
          </w:p>
        </w:tc>
        <w:tc>
          <w:tcPr>
            <w:tcW w:w="772" w:type="dxa"/>
            <w:tcMar>
              <w:top w:w="0" w:type="dxa"/>
              <w:left w:w="108" w:type="dxa"/>
              <w:bottom w:w="0" w:type="dxa"/>
              <w:right w:w="108" w:type="dxa"/>
            </w:tcMar>
            <w:hideMark/>
          </w:tcPr>
          <w:p w14:paraId="0FF6AF5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Earnings</w:t>
            </w:r>
          </w:p>
        </w:tc>
        <w:tc>
          <w:tcPr>
            <w:tcW w:w="67" w:type="dxa"/>
            <w:tcMar>
              <w:top w:w="0" w:type="dxa"/>
              <w:left w:w="108" w:type="dxa"/>
              <w:bottom w:w="0" w:type="dxa"/>
              <w:right w:w="108" w:type="dxa"/>
            </w:tcMar>
            <w:hideMark/>
          </w:tcPr>
          <w:p w14:paraId="05B0A34D"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6475718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controlling</w:t>
            </w:r>
          </w:p>
        </w:tc>
        <w:tc>
          <w:tcPr>
            <w:tcW w:w="20" w:type="dxa"/>
            <w:tcMar>
              <w:top w:w="0" w:type="dxa"/>
              <w:left w:w="108" w:type="dxa"/>
              <w:bottom w:w="0" w:type="dxa"/>
              <w:right w:w="108" w:type="dxa"/>
            </w:tcMar>
            <w:hideMark/>
          </w:tcPr>
          <w:p w14:paraId="0891167F" w14:textId="77777777" w:rsidR="006E5C07" w:rsidRPr="006E5C07" w:rsidRDefault="006E5C07" w:rsidP="006E5C07">
            <w:pPr>
              <w:spacing w:after="0" w:line="240" w:lineRule="auto"/>
              <w:jc w:val="right"/>
              <w:rPr>
                <w:rFonts w:ascii="Calibri" w:eastAsia="Times New Roman" w:hAnsi="Calibri" w:cs="Calibri"/>
              </w:rPr>
            </w:pPr>
          </w:p>
        </w:tc>
        <w:tc>
          <w:tcPr>
            <w:tcW w:w="824" w:type="dxa"/>
            <w:tcMar>
              <w:top w:w="0" w:type="dxa"/>
              <w:left w:w="108" w:type="dxa"/>
              <w:bottom w:w="0" w:type="dxa"/>
              <w:right w:w="108" w:type="dxa"/>
            </w:tcMar>
            <w:hideMark/>
          </w:tcPr>
          <w:p w14:paraId="4118C06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equity</w:t>
            </w:r>
          </w:p>
        </w:tc>
      </w:tr>
      <w:tr w:rsidR="006E5C07" w:rsidRPr="006E5C07" w14:paraId="1204AA17" w14:textId="77777777" w:rsidTr="006E5C07">
        <w:tc>
          <w:tcPr>
            <w:tcW w:w="2047" w:type="dxa"/>
            <w:tcMar>
              <w:top w:w="0" w:type="dxa"/>
              <w:left w:w="108" w:type="dxa"/>
              <w:bottom w:w="0" w:type="dxa"/>
              <w:right w:w="108" w:type="dxa"/>
            </w:tcMar>
            <w:hideMark/>
          </w:tcPr>
          <w:p w14:paraId="7371D631" w14:textId="77777777" w:rsidR="006E5C07" w:rsidRPr="006E5C07" w:rsidRDefault="006E5C07" w:rsidP="006E5C07">
            <w:pPr>
              <w:spacing w:after="0" w:line="240" w:lineRule="auto"/>
              <w:rPr>
                <w:rFonts w:ascii="Calibri" w:eastAsia="Times New Roman" w:hAnsi="Calibri" w:cs="Calibri"/>
              </w:rPr>
            </w:pPr>
          </w:p>
        </w:tc>
        <w:tc>
          <w:tcPr>
            <w:tcW w:w="498" w:type="dxa"/>
            <w:tcMar>
              <w:top w:w="0" w:type="dxa"/>
              <w:left w:w="108" w:type="dxa"/>
              <w:bottom w:w="0" w:type="dxa"/>
              <w:right w:w="108" w:type="dxa"/>
            </w:tcMar>
            <w:hideMark/>
          </w:tcPr>
          <w:p w14:paraId="7133061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63" w:type="dxa"/>
            <w:tcMar>
              <w:top w:w="0" w:type="dxa"/>
              <w:left w:w="108" w:type="dxa"/>
              <w:bottom w:w="0" w:type="dxa"/>
              <w:right w:w="108" w:type="dxa"/>
            </w:tcMar>
            <w:hideMark/>
          </w:tcPr>
          <w:p w14:paraId="4D7E9187" w14:textId="77777777" w:rsidR="006E5C07" w:rsidRPr="006E5C07" w:rsidRDefault="006E5C07" w:rsidP="006E5C07">
            <w:pPr>
              <w:spacing w:after="0" w:line="240" w:lineRule="auto"/>
              <w:jc w:val="right"/>
              <w:rPr>
                <w:rFonts w:ascii="Calibri" w:eastAsia="Times New Roman" w:hAnsi="Calibri" w:cs="Calibri"/>
              </w:rPr>
            </w:pPr>
          </w:p>
        </w:tc>
        <w:tc>
          <w:tcPr>
            <w:tcW w:w="780" w:type="dxa"/>
            <w:tcMar>
              <w:top w:w="0" w:type="dxa"/>
              <w:left w:w="108" w:type="dxa"/>
              <w:bottom w:w="0" w:type="dxa"/>
              <w:right w:w="108" w:type="dxa"/>
            </w:tcMar>
            <w:hideMark/>
          </w:tcPr>
          <w:p w14:paraId="0BA1BFC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63" w:type="dxa"/>
            <w:tcMar>
              <w:top w:w="0" w:type="dxa"/>
              <w:left w:w="108" w:type="dxa"/>
              <w:bottom w:w="0" w:type="dxa"/>
              <w:right w:w="108" w:type="dxa"/>
            </w:tcMar>
            <w:hideMark/>
          </w:tcPr>
          <w:p w14:paraId="57475065" w14:textId="77777777" w:rsidR="006E5C07" w:rsidRPr="006E5C07" w:rsidRDefault="006E5C07" w:rsidP="006E5C07">
            <w:pPr>
              <w:spacing w:after="0" w:line="240" w:lineRule="auto"/>
              <w:jc w:val="right"/>
              <w:rPr>
                <w:rFonts w:ascii="Calibri" w:eastAsia="Times New Roman" w:hAnsi="Calibri" w:cs="Calibri"/>
              </w:rPr>
            </w:pPr>
          </w:p>
        </w:tc>
        <w:tc>
          <w:tcPr>
            <w:tcW w:w="639" w:type="dxa"/>
            <w:tcMar>
              <w:top w:w="0" w:type="dxa"/>
              <w:left w:w="108" w:type="dxa"/>
              <w:bottom w:w="0" w:type="dxa"/>
              <w:right w:w="108" w:type="dxa"/>
            </w:tcMar>
            <w:hideMark/>
          </w:tcPr>
          <w:p w14:paraId="65E40C6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68" w:type="dxa"/>
            <w:tcMar>
              <w:top w:w="0" w:type="dxa"/>
              <w:left w:w="108" w:type="dxa"/>
              <w:bottom w:w="0" w:type="dxa"/>
              <w:right w:w="108" w:type="dxa"/>
            </w:tcMar>
            <w:hideMark/>
          </w:tcPr>
          <w:p w14:paraId="78BBCF55" w14:textId="77777777" w:rsidR="006E5C07" w:rsidRPr="006E5C07" w:rsidRDefault="006E5C07" w:rsidP="006E5C07">
            <w:pPr>
              <w:spacing w:after="0" w:line="240" w:lineRule="auto"/>
              <w:jc w:val="right"/>
              <w:rPr>
                <w:rFonts w:ascii="Calibri" w:eastAsia="Times New Roman" w:hAnsi="Calibri" w:cs="Calibri"/>
              </w:rPr>
            </w:pPr>
          </w:p>
        </w:tc>
        <w:tc>
          <w:tcPr>
            <w:tcW w:w="772" w:type="dxa"/>
            <w:tcMar>
              <w:top w:w="0" w:type="dxa"/>
              <w:left w:w="108" w:type="dxa"/>
              <w:bottom w:w="0" w:type="dxa"/>
              <w:right w:w="108" w:type="dxa"/>
            </w:tcMar>
            <w:hideMark/>
          </w:tcPr>
          <w:p w14:paraId="580DF7D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67" w:type="dxa"/>
            <w:tcMar>
              <w:top w:w="0" w:type="dxa"/>
              <w:left w:w="108" w:type="dxa"/>
              <w:bottom w:w="0" w:type="dxa"/>
              <w:right w:w="108" w:type="dxa"/>
            </w:tcMar>
            <w:hideMark/>
          </w:tcPr>
          <w:p w14:paraId="2AEB19ED"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184E72D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interest</w:t>
            </w:r>
          </w:p>
        </w:tc>
        <w:tc>
          <w:tcPr>
            <w:tcW w:w="20" w:type="dxa"/>
            <w:tcMar>
              <w:top w:w="0" w:type="dxa"/>
              <w:left w:w="108" w:type="dxa"/>
              <w:bottom w:w="0" w:type="dxa"/>
              <w:right w:w="108" w:type="dxa"/>
            </w:tcMar>
            <w:hideMark/>
          </w:tcPr>
          <w:p w14:paraId="149952FE" w14:textId="77777777" w:rsidR="006E5C07" w:rsidRPr="006E5C07" w:rsidRDefault="006E5C07" w:rsidP="006E5C07">
            <w:pPr>
              <w:spacing w:after="0" w:line="240" w:lineRule="auto"/>
              <w:jc w:val="right"/>
              <w:rPr>
                <w:rFonts w:ascii="Calibri" w:eastAsia="Times New Roman" w:hAnsi="Calibri" w:cs="Calibri"/>
              </w:rPr>
            </w:pPr>
          </w:p>
        </w:tc>
        <w:tc>
          <w:tcPr>
            <w:tcW w:w="824" w:type="dxa"/>
            <w:tcMar>
              <w:top w:w="0" w:type="dxa"/>
              <w:left w:w="108" w:type="dxa"/>
              <w:bottom w:w="0" w:type="dxa"/>
              <w:right w:w="108" w:type="dxa"/>
            </w:tcMar>
            <w:hideMark/>
          </w:tcPr>
          <w:p w14:paraId="5911916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45904925" w14:textId="77777777" w:rsidTr="006E5C07">
        <w:tc>
          <w:tcPr>
            <w:tcW w:w="2047" w:type="dxa"/>
            <w:tcMar>
              <w:top w:w="0" w:type="dxa"/>
              <w:left w:w="108" w:type="dxa"/>
              <w:bottom w:w="0" w:type="dxa"/>
              <w:right w:w="108" w:type="dxa"/>
            </w:tcMar>
            <w:hideMark/>
          </w:tcPr>
          <w:p w14:paraId="57FDDD44" w14:textId="77777777" w:rsidR="006E5C07" w:rsidRPr="006E5C07" w:rsidRDefault="006E5C07" w:rsidP="006E5C07">
            <w:pPr>
              <w:spacing w:after="0" w:line="240" w:lineRule="auto"/>
              <w:rPr>
                <w:rFonts w:ascii="Calibri" w:eastAsia="Times New Roman" w:hAnsi="Calibri" w:cs="Calibri"/>
              </w:rPr>
            </w:pPr>
          </w:p>
        </w:tc>
        <w:tc>
          <w:tcPr>
            <w:tcW w:w="498" w:type="dxa"/>
            <w:tcMar>
              <w:top w:w="0" w:type="dxa"/>
              <w:left w:w="108" w:type="dxa"/>
              <w:bottom w:w="0" w:type="dxa"/>
              <w:right w:w="108" w:type="dxa"/>
            </w:tcMar>
            <w:hideMark/>
          </w:tcPr>
          <w:p w14:paraId="411E5A49" w14:textId="77777777" w:rsidR="006E5C07" w:rsidRPr="006E5C07" w:rsidRDefault="006E5C07" w:rsidP="006E5C07">
            <w:pPr>
              <w:spacing w:after="0" w:line="240" w:lineRule="auto"/>
              <w:jc w:val="right"/>
              <w:rPr>
                <w:rFonts w:ascii="Calibri" w:eastAsia="Times New Roman" w:hAnsi="Calibri" w:cs="Calibri"/>
              </w:rPr>
            </w:pPr>
          </w:p>
        </w:tc>
        <w:tc>
          <w:tcPr>
            <w:tcW w:w="63" w:type="dxa"/>
            <w:tcMar>
              <w:top w:w="0" w:type="dxa"/>
              <w:left w:w="108" w:type="dxa"/>
              <w:bottom w:w="0" w:type="dxa"/>
              <w:right w:w="108" w:type="dxa"/>
            </w:tcMar>
            <w:hideMark/>
          </w:tcPr>
          <w:p w14:paraId="447A8187" w14:textId="77777777" w:rsidR="006E5C07" w:rsidRPr="006E5C07" w:rsidRDefault="006E5C07" w:rsidP="006E5C07">
            <w:pPr>
              <w:spacing w:after="0" w:line="240" w:lineRule="auto"/>
              <w:jc w:val="right"/>
              <w:rPr>
                <w:rFonts w:ascii="Calibri" w:eastAsia="Times New Roman" w:hAnsi="Calibri" w:cs="Calibri"/>
              </w:rPr>
            </w:pPr>
          </w:p>
        </w:tc>
        <w:tc>
          <w:tcPr>
            <w:tcW w:w="780" w:type="dxa"/>
            <w:tcMar>
              <w:top w:w="0" w:type="dxa"/>
              <w:left w:w="108" w:type="dxa"/>
              <w:bottom w:w="0" w:type="dxa"/>
              <w:right w:w="108" w:type="dxa"/>
            </w:tcMar>
            <w:hideMark/>
          </w:tcPr>
          <w:p w14:paraId="2AC7FE2C" w14:textId="77777777" w:rsidR="006E5C07" w:rsidRPr="006E5C07" w:rsidRDefault="006E5C07" w:rsidP="006E5C07">
            <w:pPr>
              <w:spacing w:after="0" w:line="240" w:lineRule="auto"/>
              <w:jc w:val="right"/>
              <w:rPr>
                <w:rFonts w:ascii="Calibri" w:eastAsia="Times New Roman" w:hAnsi="Calibri" w:cs="Calibri"/>
              </w:rPr>
            </w:pPr>
          </w:p>
        </w:tc>
        <w:tc>
          <w:tcPr>
            <w:tcW w:w="63" w:type="dxa"/>
            <w:tcMar>
              <w:top w:w="0" w:type="dxa"/>
              <w:left w:w="108" w:type="dxa"/>
              <w:bottom w:w="0" w:type="dxa"/>
              <w:right w:w="108" w:type="dxa"/>
            </w:tcMar>
            <w:hideMark/>
          </w:tcPr>
          <w:p w14:paraId="556EA790" w14:textId="77777777" w:rsidR="006E5C07" w:rsidRPr="006E5C07" w:rsidRDefault="006E5C07" w:rsidP="006E5C07">
            <w:pPr>
              <w:spacing w:after="0" w:line="240" w:lineRule="auto"/>
              <w:jc w:val="right"/>
              <w:rPr>
                <w:rFonts w:ascii="Calibri" w:eastAsia="Times New Roman" w:hAnsi="Calibri" w:cs="Calibri"/>
              </w:rPr>
            </w:pPr>
          </w:p>
        </w:tc>
        <w:tc>
          <w:tcPr>
            <w:tcW w:w="639" w:type="dxa"/>
            <w:tcMar>
              <w:top w:w="0" w:type="dxa"/>
              <w:left w:w="108" w:type="dxa"/>
              <w:bottom w:w="0" w:type="dxa"/>
              <w:right w:w="108" w:type="dxa"/>
            </w:tcMar>
            <w:hideMark/>
          </w:tcPr>
          <w:p w14:paraId="111F2764" w14:textId="77777777" w:rsidR="006E5C07" w:rsidRPr="006E5C07" w:rsidRDefault="006E5C07" w:rsidP="006E5C07">
            <w:pPr>
              <w:spacing w:after="0" w:line="240" w:lineRule="auto"/>
              <w:jc w:val="right"/>
              <w:rPr>
                <w:rFonts w:ascii="Calibri" w:eastAsia="Times New Roman" w:hAnsi="Calibri" w:cs="Calibri"/>
              </w:rPr>
            </w:pPr>
          </w:p>
        </w:tc>
        <w:tc>
          <w:tcPr>
            <w:tcW w:w="68" w:type="dxa"/>
            <w:tcMar>
              <w:top w:w="0" w:type="dxa"/>
              <w:left w:w="108" w:type="dxa"/>
              <w:bottom w:w="0" w:type="dxa"/>
              <w:right w:w="108" w:type="dxa"/>
            </w:tcMar>
            <w:hideMark/>
          </w:tcPr>
          <w:p w14:paraId="7336E644" w14:textId="77777777" w:rsidR="006E5C07" w:rsidRPr="006E5C07" w:rsidRDefault="006E5C07" w:rsidP="006E5C07">
            <w:pPr>
              <w:spacing w:after="0" w:line="240" w:lineRule="auto"/>
              <w:jc w:val="right"/>
              <w:rPr>
                <w:rFonts w:ascii="Calibri" w:eastAsia="Times New Roman" w:hAnsi="Calibri" w:cs="Calibri"/>
              </w:rPr>
            </w:pPr>
          </w:p>
        </w:tc>
        <w:tc>
          <w:tcPr>
            <w:tcW w:w="772" w:type="dxa"/>
            <w:tcMar>
              <w:top w:w="0" w:type="dxa"/>
              <w:left w:w="108" w:type="dxa"/>
              <w:bottom w:w="0" w:type="dxa"/>
              <w:right w:w="108" w:type="dxa"/>
            </w:tcMar>
            <w:hideMark/>
          </w:tcPr>
          <w:p w14:paraId="1C2CAEB9" w14:textId="77777777" w:rsidR="006E5C07" w:rsidRPr="006E5C07" w:rsidRDefault="006E5C07" w:rsidP="006E5C07">
            <w:pPr>
              <w:spacing w:after="0" w:line="240" w:lineRule="auto"/>
              <w:jc w:val="right"/>
              <w:rPr>
                <w:rFonts w:ascii="Calibri" w:eastAsia="Times New Roman" w:hAnsi="Calibri" w:cs="Calibri"/>
              </w:rPr>
            </w:pPr>
          </w:p>
        </w:tc>
        <w:tc>
          <w:tcPr>
            <w:tcW w:w="67" w:type="dxa"/>
            <w:tcMar>
              <w:top w:w="0" w:type="dxa"/>
              <w:left w:w="108" w:type="dxa"/>
              <w:bottom w:w="0" w:type="dxa"/>
              <w:right w:w="108" w:type="dxa"/>
            </w:tcMar>
            <w:hideMark/>
          </w:tcPr>
          <w:p w14:paraId="7937B7F6"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6999408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20" w:type="dxa"/>
            <w:tcMar>
              <w:top w:w="0" w:type="dxa"/>
              <w:left w:w="108" w:type="dxa"/>
              <w:bottom w:w="0" w:type="dxa"/>
              <w:right w:w="108" w:type="dxa"/>
            </w:tcMar>
            <w:hideMark/>
          </w:tcPr>
          <w:p w14:paraId="374CF460" w14:textId="77777777" w:rsidR="006E5C07" w:rsidRPr="006E5C07" w:rsidRDefault="006E5C07" w:rsidP="006E5C07">
            <w:pPr>
              <w:spacing w:after="0" w:line="240" w:lineRule="auto"/>
              <w:jc w:val="right"/>
              <w:rPr>
                <w:rFonts w:ascii="Calibri" w:eastAsia="Times New Roman" w:hAnsi="Calibri" w:cs="Calibri"/>
              </w:rPr>
            </w:pPr>
          </w:p>
        </w:tc>
        <w:tc>
          <w:tcPr>
            <w:tcW w:w="824" w:type="dxa"/>
            <w:tcMar>
              <w:top w:w="0" w:type="dxa"/>
              <w:left w:w="108" w:type="dxa"/>
              <w:bottom w:w="0" w:type="dxa"/>
              <w:right w:w="108" w:type="dxa"/>
            </w:tcMar>
            <w:hideMark/>
          </w:tcPr>
          <w:p w14:paraId="1E47DA59"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373C9D14" w14:textId="77777777" w:rsidTr="006E5C07">
        <w:tc>
          <w:tcPr>
            <w:tcW w:w="2047" w:type="dxa"/>
            <w:tcMar>
              <w:top w:w="0" w:type="dxa"/>
              <w:left w:w="108" w:type="dxa"/>
              <w:bottom w:w="0" w:type="dxa"/>
              <w:right w:w="108" w:type="dxa"/>
            </w:tcMar>
            <w:hideMark/>
          </w:tcPr>
          <w:p w14:paraId="4B52EEDA" w14:textId="77777777" w:rsidR="006E5C07" w:rsidRPr="006E5C07" w:rsidRDefault="006E5C07" w:rsidP="006E5C07">
            <w:pPr>
              <w:spacing w:after="0" w:line="240" w:lineRule="auto"/>
              <w:rPr>
                <w:rFonts w:ascii="Calibri" w:eastAsia="Times New Roman" w:hAnsi="Calibri" w:cs="Calibri"/>
              </w:rPr>
            </w:pPr>
          </w:p>
        </w:tc>
        <w:tc>
          <w:tcPr>
            <w:tcW w:w="498" w:type="dxa"/>
            <w:tcMar>
              <w:top w:w="0" w:type="dxa"/>
              <w:left w:w="108" w:type="dxa"/>
              <w:bottom w:w="0" w:type="dxa"/>
              <w:right w:w="108" w:type="dxa"/>
            </w:tcMar>
            <w:hideMark/>
          </w:tcPr>
          <w:p w14:paraId="47A1F5F0" w14:textId="77777777" w:rsidR="006E5C07" w:rsidRPr="006E5C07" w:rsidRDefault="006E5C07" w:rsidP="006E5C07">
            <w:pPr>
              <w:spacing w:after="0" w:line="240" w:lineRule="auto"/>
              <w:jc w:val="right"/>
              <w:rPr>
                <w:rFonts w:ascii="Calibri" w:eastAsia="Times New Roman" w:hAnsi="Calibri" w:cs="Calibri"/>
              </w:rPr>
            </w:pPr>
          </w:p>
        </w:tc>
        <w:tc>
          <w:tcPr>
            <w:tcW w:w="63" w:type="dxa"/>
            <w:tcMar>
              <w:top w:w="0" w:type="dxa"/>
              <w:left w:w="108" w:type="dxa"/>
              <w:bottom w:w="0" w:type="dxa"/>
              <w:right w:w="108" w:type="dxa"/>
            </w:tcMar>
            <w:hideMark/>
          </w:tcPr>
          <w:p w14:paraId="2B64E2BD" w14:textId="77777777" w:rsidR="006E5C07" w:rsidRPr="006E5C07" w:rsidRDefault="006E5C07" w:rsidP="006E5C07">
            <w:pPr>
              <w:spacing w:after="0" w:line="240" w:lineRule="auto"/>
              <w:jc w:val="right"/>
              <w:rPr>
                <w:rFonts w:ascii="Calibri" w:eastAsia="Times New Roman" w:hAnsi="Calibri" w:cs="Calibri"/>
              </w:rPr>
            </w:pPr>
          </w:p>
        </w:tc>
        <w:tc>
          <w:tcPr>
            <w:tcW w:w="780" w:type="dxa"/>
            <w:tcMar>
              <w:top w:w="0" w:type="dxa"/>
              <w:left w:w="108" w:type="dxa"/>
              <w:bottom w:w="0" w:type="dxa"/>
              <w:right w:w="108" w:type="dxa"/>
            </w:tcMar>
            <w:hideMark/>
          </w:tcPr>
          <w:p w14:paraId="585B2B60" w14:textId="77777777" w:rsidR="006E5C07" w:rsidRPr="006E5C07" w:rsidRDefault="006E5C07" w:rsidP="006E5C07">
            <w:pPr>
              <w:spacing w:after="0" w:line="240" w:lineRule="auto"/>
              <w:jc w:val="right"/>
              <w:rPr>
                <w:rFonts w:ascii="Calibri" w:eastAsia="Times New Roman" w:hAnsi="Calibri" w:cs="Calibri"/>
              </w:rPr>
            </w:pPr>
          </w:p>
        </w:tc>
        <w:tc>
          <w:tcPr>
            <w:tcW w:w="63" w:type="dxa"/>
            <w:tcMar>
              <w:top w:w="0" w:type="dxa"/>
              <w:left w:w="108" w:type="dxa"/>
              <w:bottom w:w="0" w:type="dxa"/>
              <w:right w:w="108" w:type="dxa"/>
            </w:tcMar>
            <w:hideMark/>
          </w:tcPr>
          <w:p w14:paraId="3C9BDCFD" w14:textId="77777777" w:rsidR="006E5C07" w:rsidRPr="006E5C07" w:rsidRDefault="006E5C07" w:rsidP="006E5C07">
            <w:pPr>
              <w:spacing w:after="0" w:line="240" w:lineRule="auto"/>
              <w:jc w:val="right"/>
              <w:rPr>
                <w:rFonts w:ascii="Calibri" w:eastAsia="Times New Roman" w:hAnsi="Calibri" w:cs="Calibri"/>
              </w:rPr>
            </w:pPr>
          </w:p>
        </w:tc>
        <w:tc>
          <w:tcPr>
            <w:tcW w:w="639" w:type="dxa"/>
            <w:tcMar>
              <w:top w:w="0" w:type="dxa"/>
              <w:left w:w="108" w:type="dxa"/>
              <w:bottom w:w="0" w:type="dxa"/>
              <w:right w:w="108" w:type="dxa"/>
            </w:tcMar>
            <w:hideMark/>
          </w:tcPr>
          <w:p w14:paraId="4279AAF4" w14:textId="77777777" w:rsidR="006E5C07" w:rsidRPr="006E5C07" w:rsidRDefault="006E5C07" w:rsidP="006E5C07">
            <w:pPr>
              <w:spacing w:after="0" w:line="240" w:lineRule="auto"/>
              <w:jc w:val="right"/>
              <w:rPr>
                <w:rFonts w:ascii="Calibri" w:eastAsia="Times New Roman" w:hAnsi="Calibri" w:cs="Calibri"/>
              </w:rPr>
            </w:pPr>
          </w:p>
        </w:tc>
        <w:tc>
          <w:tcPr>
            <w:tcW w:w="68" w:type="dxa"/>
            <w:tcMar>
              <w:top w:w="0" w:type="dxa"/>
              <w:left w:w="108" w:type="dxa"/>
              <w:bottom w:w="0" w:type="dxa"/>
              <w:right w:w="108" w:type="dxa"/>
            </w:tcMar>
            <w:hideMark/>
          </w:tcPr>
          <w:p w14:paraId="50A032B3" w14:textId="77777777" w:rsidR="006E5C07" w:rsidRPr="006E5C07" w:rsidRDefault="006E5C07" w:rsidP="006E5C07">
            <w:pPr>
              <w:spacing w:after="0" w:line="240" w:lineRule="auto"/>
              <w:jc w:val="right"/>
              <w:rPr>
                <w:rFonts w:ascii="Calibri" w:eastAsia="Times New Roman" w:hAnsi="Calibri" w:cs="Calibri"/>
              </w:rPr>
            </w:pPr>
          </w:p>
        </w:tc>
        <w:tc>
          <w:tcPr>
            <w:tcW w:w="772" w:type="dxa"/>
            <w:tcMar>
              <w:top w:w="0" w:type="dxa"/>
              <w:left w:w="108" w:type="dxa"/>
              <w:bottom w:w="0" w:type="dxa"/>
              <w:right w:w="108" w:type="dxa"/>
            </w:tcMar>
            <w:hideMark/>
          </w:tcPr>
          <w:p w14:paraId="2CC5D19F" w14:textId="77777777" w:rsidR="006E5C07" w:rsidRPr="006E5C07" w:rsidRDefault="006E5C07" w:rsidP="006E5C07">
            <w:pPr>
              <w:spacing w:after="0" w:line="240" w:lineRule="auto"/>
              <w:jc w:val="right"/>
              <w:rPr>
                <w:rFonts w:ascii="Calibri" w:eastAsia="Times New Roman" w:hAnsi="Calibri" w:cs="Calibri"/>
              </w:rPr>
            </w:pPr>
          </w:p>
        </w:tc>
        <w:tc>
          <w:tcPr>
            <w:tcW w:w="67" w:type="dxa"/>
            <w:tcMar>
              <w:top w:w="0" w:type="dxa"/>
              <w:left w:w="108" w:type="dxa"/>
              <w:bottom w:w="0" w:type="dxa"/>
              <w:right w:w="108" w:type="dxa"/>
            </w:tcMar>
            <w:hideMark/>
          </w:tcPr>
          <w:p w14:paraId="3C079D60"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0B2D32D6" w14:textId="77777777" w:rsidR="006E5C07" w:rsidRPr="006E5C07" w:rsidRDefault="006E5C07" w:rsidP="006E5C07">
            <w:pPr>
              <w:spacing w:after="0" w:line="240" w:lineRule="auto"/>
              <w:jc w:val="right"/>
              <w:rPr>
                <w:rFonts w:ascii="Calibri" w:eastAsia="Times New Roman" w:hAnsi="Calibri" w:cs="Calibri"/>
              </w:rPr>
            </w:pPr>
          </w:p>
        </w:tc>
        <w:tc>
          <w:tcPr>
            <w:tcW w:w="20" w:type="dxa"/>
            <w:tcMar>
              <w:top w:w="0" w:type="dxa"/>
              <w:left w:w="108" w:type="dxa"/>
              <w:bottom w:w="0" w:type="dxa"/>
              <w:right w:w="108" w:type="dxa"/>
            </w:tcMar>
            <w:hideMark/>
          </w:tcPr>
          <w:p w14:paraId="6003EFBE" w14:textId="77777777" w:rsidR="006E5C07" w:rsidRPr="006E5C07" w:rsidRDefault="006E5C07" w:rsidP="006E5C07">
            <w:pPr>
              <w:spacing w:after="0" w:line="240" w:lineRule="auto"/>
              <w:jc w:val="right"/>
              <w:rPr>
                <w:rFonts w:ascii="Calibri" w:eastAsia="Times New Roman" w:hAnsi="Calibri" w:cs="Calibri"/>
              </w:rPr>
            </w:pPr>
          </w:p>
        </w:tc>
        <w:tc>
          <w:tcPr>
            <w:tcW w:w="824" w:type="dxa"/>
            <w:tcMar>
              <w:top w:w="0" w:type="dxa"/>
              <w:left w:w="108" w:type="dxa"/>
              <w:bottom w:w="0" w:type="dxa"/>
              <w:right w:w="108" w:type="dxa"/>
            </w:tcMar>
            <w:hideMark/>
          </w:tcPr>
          <w:p w14:paraId="1211281D"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18EE2DA4" w14:textId="77777777" w:rsidTr="006E5C07">
        <w:tc>
          <w:tcPr>
            <w:tcW w:w="2047" w:type="dxa"/>
            <w:tcMar>
              <w:top w:w="0" w:type="dxa"/>
              <w:left w:w="108" w:type="dxa"/>
              <w:bottom w:w="0" w:type="dxa"/>
              <w:right w:w="108" w:type="dxa"/>
            </w:tcMar>
            <w:hideMark/>
          </w:tcPr>
          <w:p w14:paraId="2B62D91D"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At 31 December 2018 as originally stated</w:t>
            </w:r>
          </w:p>
        </w:tc>
        <w:tc>
          <w:tcPr>
            <w:tcW w:w="498" w:type="dxa"/>
            <w:tcMar>
              <w:top w:w="0" w:type="dxa"/>
              <w:left w:w="108" w:type="dxa"/>
              <w:bottom w:w="0" w:type="dxa"/>
              <w:right w:w="108" w:type="dxa"/>
            </w:tcMar>
            <w:hideMark/>
          </w:tcPr>
          <w:p w14:paraId="0A300701"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195</w:t>
            </w:r>
          </w:p>
        </w:tc>
        <w:tc>
          <w:tcPr>
            <w:tcW w:w="63" w:type="dxa"/>
            <w:tcMar>
              <w:top w:w="0" w:type="dxa"/>
              <w:left w:w="108" w:type="dxa"/>
              <w:bottom w:w="0" w:type="dxa"/>
              <w:right w:w="108" w:type="dxa"/>
            </w:tcMar>
            <w:hideMark/>
          </w:tcPr>
          <w:p w14:paraId="6F896031" w14:textId="77777777" w:rsidR="006E5C07" w:rsidRPr="006E5C07" w:rsidRDefault="006E5C07" w:rsidP="006E5C07">
            <w:pPr>
              <w:spacing w:after="0" w:line="240" w:lineRule="auto"/>
              <w:jc w:val="right"/>
              <w:rPr>
                <w:rFonts w:ascii="Calibri" w:eastAsia="Times New Roman" w:hAnsi="Calibri" w:cs="Calibri"/>
                <w:b/>
                <w:bCs/>
              </w:rPr>
            </w:pPr>
          </w:p>
        </w:tc>
        <w:tc>
          <w:tcPr>
            <w:tcW w:w="780" w:type="dxa"/>
            <w:tcMar>
              <w:top w:w="0" w:type="dxa"/>
              <w:left w:w="108" w:type="dxa"/>
              <w:bottom w:w="0" w:type="dxa"/>
              <w:right w:w="108" w:type="dxa"/>
            </w:tcMar>
            <w:hideMark/>
          </w:tcPr>
          <w:p w14:paraId="043C25CD"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4,868</w:t>
            </w:r>
          </w:p>
        </w:tc>
        <w:tc>
          <w:tcPr>
            <w:tcW w:w="63" w:type="dxa"/>
            <w:tcMar>
              <w:top w:w="0" w:type="dxa"/>
              <w:left w:w="108" w:type="dxa"/>
              <w:bottom w:w="0" w:type="dxa"/>
              <w:right w:w="108" w:type="dxa"/>
            </w:tcMar>
            <w:hideMark/>
          </w:tcPr>
          <w:p w14:paraId="1282CF77" w14:textId="77777777" w:rsidR="006E5C07" w:rsidRPr="006E5C07" w:rsidRDefault="006E5C07" w:rsidP="006E5C07">
            <w:pPr>
              <w:spacing w:after="0" w:line="240" w:lineRule="auto"/>
              <w:jc w:val="right"/>
              <w:rPr>
                <w:rFonts w:ascii="Calibri" w:eastAsia="Times New Roman" w:hAnsi="Calibri" w:cs="Calibri"/>
                <w:b/>
                <w:bCs/>
              </w:rPr>
            </w:pPr>
          </w:p>
        </w:tc>
        <w:tc>
          <w:tcPr>
            <w:tcW w:w="639" w:type="dxa"/>
            <w:tcMar>
              <w:top w:w="0" w:type="dxa"/>
              <w:left w:w="108" w:type="dxa"/>
              <w:bottom w:w="0" w:type="dxa"/>
              <w:right w:w="108" w:type="dxa"/>
            </w:tcMar>
            <w:hideMark/>
          </w:tcPr>
          <w:p w14:paraId="3F5DBF3A"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233</w:t>
            </w:r>
          </w:p>
        </w:tc>
        <w:tc>
          <w:tcPr>
            <w:tcW w:w="68" w:type="dxa"/>
            <w:tcMar>
              <w:top w:w="0" w:type="dxa"/>
              <w:left w:w="108" w:type="dxa"/>
              <w:bottom w:w="0" w:type="dxa"/>
              <w:right w:w="108" w:type="dxa"/>
            </w:tcMar>
            <w:hideMark/>
          </w:tcPr>
          <w:p w14:paraId="0A7DFA5A" w14:textId="77777777" w:rsidR="006E5C07" w:rsidRPr="006E5C07" w:rsidRDefault="006E5C07" w:rsidP="006E5C07">
            <w:pPr>
              <w:spacing w:after="0" w:line="240" w:lineRule="auto"/>
              <w:jc w:val="right"/>
              <w:rPr>
                <w:rFonts w:ascii="Calibri" w:eastAsia="Times New Roman" w:hAnsi="Calibri" w:cs="Calibri"/>
                <w:b/>
                <w:bCs/>
              </w:rPr>
            </w:pPr>
          </w:p>
        </w:tc>
        <w:tc>
          <w:tcPr>
            <w:tcW w:w="772" w:type="dxa"/>
            <w:tcMar>
              <w:top w:w="0" w:type="dxa"/>
              <w:left w:w="108" w:type="dxa"/>
              <w:bottom w:w="0" w:type="dxa"/>
              <w:right w:w="108" w:type="dxa"/>
            </w:tcMar>
            <w:hideMark/>
          </w:tcPr>
          <w:p w14:paraId="1DF9FFDA"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3,822</w:t>
            </w:r>
          </w:p>
        </w:tc>
        <w:tc>
          <w:tcPr>
            <w:tcW w:w="67" w:type="dxa"/>
            <w:tcMar>
              <w:top w:w="0" w:type="dxa"/>
              <w:left w:w="108" w:type="dxa"/>
              <w:bottom w:w="0" w:type="dxa"/>
              <w:right w:w="108" w:type="dxa"/>
            </w:tcMar>
            <w:hideMark/>
          </w:tcPr>
          <w:p w14:paraId="1AD907AB" w14:textId="77777777" w:rsidR="006E5C07" w:rsidRPr="006E5C07" w:rsidRDefault="006E5C07" w:rsidP="006E5C07">
            <w:pPr>
              <w:spacing w:after="0" w:line="240" w:lineRule="auto"/>
              <w:jc w:val="right"/>
              <w:rPr>
                <w:rFonts w:ascii="Calibri" w:eastAsia="Times New Roman" w:hAnsi="Calibri" w:cs="Calibri"/>
                <w:b/>
                <w:bCs/>
              </w:rPr>
            </w:pPr>
          </w:p>
        </w:tc>
        <w:tc>
          <w:tcPr>
            <w:tcW w:w="918" w:type="dxa"/>
            <w:tcMar>
              <w:top w:w="0" w:type="dxa"/>
              <w:left w:w="108" w:type="dxa"/>
              <w:bottom w:w="0" w:type="dxa"/>
              <w:right w:w="108" w:type="dxa"/>
            </w:tcMar>
            <w:hideMark/>
          </w:tcPr>
          <w:p w14:paraId="1307EAD0"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233</w:t>
            </w:r>
          </w:p>
        </w:tc>
        <w:tc>
          <w:tcPr>
            <w:tcW w:w="20" w:type="dxa"/>
            <w:tcMar>
              <w:top w:w="0" w:type="dxa"/>
              <w:left w:w="108" w:type="dxa"/>
              <w:bottom w:w="0" w:type="dxa"/>
              <w:right w:w="108" w:type="dxa"/>
            </w:tcMar>
            <w:hideMark/>
          </w:tcPr>
          <w:p w14:paraId="31C7F02D" w14:textId="77777777" w:rsidR="006E5C07" w:rsidRPr="006E5C07" w:rsidRDefault="006E5C07" w:rsidP="006E5C07">
            <w:pPr>
              <w:spacing w:after="0" w:line="240" w:lineRule="auto"/>
              <w:jc w:val="right"/>
              <w:rPr>
                <w:rFonts w:ascii="Calibri" w:eastAsia="Times New Roman" w:hAnsi="Calibri" w:cs="Calibri"/>
                <w:b/>
                <w:bCs/>
              </w:rPr>
            </w:pPr>
          </w:p>
        </w:tc>
        <w:tc>
          <w:tcPr>
            <w:tcW w:w="824" w:type="dxa"/>
            <w:tcMar>
              <w:top w:w="0" w:type="dxa"/>
              <w:left w:w="108" w:type="dxa"/>
              <w:bottom w:w="0" w:type="dxa"/>
              <w:right w:w="108" w:type="dxa"/>
            </w:tcMar>
            <w:hideMark/>
          </w:tcPr>
          <w:p w14:paraId="5E55B42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9,351</w:t>
            </w:r>
          </w:p>
        </w:tc>
      </w:tr>
      <w:tr w:rsidR="006E5C07" w:rsidRPr="006E5C07" w14:paraId="0FA4D55C" w14:textId="77777777" w:rsidTr="006E5C07">
        <w:tc>
          <w:tcPr>
            <w:tcW w:w="2047" w:type="dxa"/>
            <w:tcMar>
              <w:top w:w="0" w:type="dxa"/>
              <w:left w:w="108" w:type="dxa"/>
              <w:bottom w:w="0" w:type="dxa"/>
              <w:right w:w="108" w:type="dxa"/>
            </w:tcMar>
            <w:hideMark/>
          </w:tcPr>
          <w:p w14:paraId="0459B9C2"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Prior period adjustment *</w:t>
            </w:r>
          </w:p>
        </w:tc>
        <w:tc>
          <w:tcPr>
            <w:tcW w:w="498" w:type="dxa"/>
            <w:tcBorders>
              <w:top w:val="nil"/>
              <w:left w:val="nil"/>
              <w:bottom w:val="single" w:sz="8" w:space="0" w:color="auto"/>
              <w:right w:val="nil"/>
            </w:tcBorders>
            <w:tcMar>
              <w:top w:w="0" w:type="dxa"/>
              <w:left w:w="108" w:type="dxa"/>
              <w:bottom w:w="0" w:type="dxa"/>
              <w:right w:w="108" w:type="dxa"/>
            </w:tcMar>
            <w:hideMark/>
          </w:tcPr>
          <w:p w14:paraId="0137FE6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3" w:type="dxa"/>
            <w:tcMar>
              <w:top w:w="0" w:type="dxa"/>
              <w:left w:w="108" w:type="dxa"/>
              <w:bottom w:w="0" w:type="dxa"/>
              <w:right w:w="108" w:type="dxa"/>
            </w:tcMar>
            <w:hideMark/>
          </w:tcPr>
          <w:p w14:paraId="5C276E5D" w14:textId="77777777" w:rsidR="006E5C07" w:rsidRPr="006E5C07" w:rsidRDefault="006E5C07" w:rsidP="006E5C07">
            <w:pPr>
              <w:spacing w:after="0" w:line="240" w:lineRule="auto"/>
              <w:jc w:val="right"/>
              <w:rPr>
                <w:rFonts w:ascii="Calibri" w:eastAsia="Times New Roman" w:hAnsi="Calibri" w:cs="Calibri"/>
              </w:rPr>
            </w:pPr>
          </w:p>
        </w:tc>
        <w:tc>
          <w:tcPr>
            <w:tcW w:w="780" w:type="dxa"/>
            <w:tcBorders>
              <w:top w:val="nil"/>
              <w:left w:val="nil"/>
              <w:bottom w:val="single" w:sz="8" w:space="0" w:color="auto"/>
              <w:right w:val="nil"/>
            </w:tcBorders>
            <w:tcMar>
              <w:top w:w="0" w:type="dxa"/>
              <w:left w:w="108" w:type="dxa"/>
              <w:bottom w:w="0" w:type="dxa"/>
              <w:right w:w="108" w:type="dxa"/>
            </w:tcMar>
            <w:hideMark/>
          </w:tcPr>
          <w:p w14:paraId="6FC1C16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3" w:type="dxa"/>
            <w:tcMar>
              <w:top w:w="0" w:type="dxa"/>
              <w:left w:w="108" w:type="dxa"/>
              <w:bottom w:w="0" w:type="dxa"/>
              <w:right w:w="108" w:type="dxa"/>
            </w:tcMar>
            <w:hideMark/>
          </w:tcPr>
          <w:p w14:paraId="77263727" w14:textId="77777777" w:rsidR="006E5C07" w:rsidRPr="006E5C07" w:rsidRDefault="006E5C07" w:rsidP="006E5C07">
            <w:pPr>
              <w:spacing w:after="0" w:line="240" w:lineRule="auto"/>
              <w:jc w:val="right"/>
              <w:rPr>
                <w:rFonts w:ascii="Calibri" w:eastAsia="Times New Roman" w:hAnsi="Calibri" w:cs="Calibri"/>
              </w:rPr>
            </w:pPr>
          </w:p>
        </w:tc>
        <w:tc>
          <w:tcPr>
            <w:tcW w:w="639" w:type="dxa"/>
            <w:tcBorders>
              <w:top w:val="nil"/>
              <w:left w:val="nil"/>
              <w:bottom w:val="single" w:sz="8" w:space="0" w:color="auto"/>
              <w:right w:val="nil"/>
            </w:tcBorders>
            <w:tcMar>
              <w:top w:w="0" w:type="dxa"/>
              <w:left w:w="108" w:type="dxa"/>
              <w:bottom w:w="0" w:type="dxa"/>
              <w:right w:w="108" w:type="dxa"/>
            </w:tcMar>
            <w:hideMark/>
          </w:tcPr>
          <w:p w14:paraId="101EDB2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8" w:type="dxa"/>
            <w:tcMar>
              <w:top w:w="0" w:type="dxa"/>
              <w:left w:w="108" w:type="dxa"/>
              <w:bottom w:w="0" w:type="dxa"/>
              <w:right w:w="108" w:type="dxa"/>
            </w:tcMar>
            <w:hideMark/>
          </w:tcPr>
          <w:p w14:paraId="0ACAA7D0" w14:textId="77777777" w:rsidR="006E5C07" w:rsidRPr="006E5C07" w:rsidRDefault="006E5C07" w:rsidP="006E5C07">
            <w:pPr>
              <w:spacing w:after="0" w:line="240" w:lineRule="auto"/>
              <w:jc w:val="right"/>
              <w:rPr>
                <w:rFonts w:ascii="Calibri" w:eastAsia="Times New Roman" w:hAnsi="Calibri" w:cs="Calibri"/>
              </w:rPr>
            </w:pPr>
          </w:p>
        </w:tc>
        <w:tc>
          <w:tcPr>
            <w:tcW w:w="772" w:type="dxa"/>
            <w:tcBorders>
              <w:top w:val="nil"/>
              <w:left w:val="nil"/>
              <w:bottom w:val="single" w:sz="8" w:space="0" w:color="auto"/>
              <w:right w:val="nil"/>
            </w:tcBorders>
            <w:tcMar>
              <w:top w:w="0" w:type="dxa"/>
              <w:left w:w="108" w:type="dxa"/>
              <w:bottom w:w="0" w:type="dxa"/>
              <w:right w:w="108" w:type="dxa"/>
            </w:tcMar>
            <w:hideMark/>
          </w:tcPr>
          <w:p w14:paraId="1B9489F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(964)</w:t>
            </w:r>
          </w:p>
        </w:tc>
        <w:tc>
          <w:tcPr>
            <w:tcW w:w="67" w:type="dxa"/>
            <w:tcMar>
              <w:top w:w="0" w:type="dxa"/>
              <w:left w:w="108" w:type="dxa"/>
              <w:bottom w:w="0" w:type="dxa"/>
              <w:right w:w="108" w:type="dxa"/>
            </w:tcMar>
            <w:hideMark/>
          </w:tcPr>
          <w:p w14:paraId="2C7D936F" w14:textId="77777777" w:rsidR="006E5C07" w:rsidRPr="006E5C07" w:rsidRDefault="006E5C07" w:rsidP="006E5C07">
            <w:pPr>
              <w:spacing w:after="0" w:line="240" w:lineRule="auto"/>
              <w:jc w:val="right"/>
              <w:rPr>
                <w:rFonts w:ascii="Calibri" w:eastAsia="Times New Roman" w:hAnsi="Calibri" w:cs="Calibri"/>
              </w:rPr>
            </w:pPr>
          </w:p>
        </w:tc>
        <w:tc>
          <w:tcPr>
            <w:tcW w:w="918" w:type="dxa"/>
            <w:tcBorders>
              <w:top w:val="nil"/>
              <w:left w:val="nil"/>
              <w:bottom w:val="single" w:sz="8" w:space="0" w:color="auto"/>
              <w:right w:val="nil"/>
            </w:tcBorders>
            <w:tcMar>
              <w:top w:w="0" w:type="dxa"/>
              <w:left w:w="108" w:type="dxa"/>
              <w:bottom w:w="0" w:type="dxa"/>
              <w:right w:w="108" w:type="dxa"/>
            </w:tcMar>
            <w:hideMark/>
          </w:tcPr>
          <w:p w14:paraId="688DE6D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20" w:type="dxa"/>
            <w:tcMar>
              <w:top w:w="0" w:type="dxa"/>
              <w:left w:w="108" w:type="dxa"/>
              <w:bottom w:w="0" w:type="dxa"/>
              <w:right w:w="108" w:type="dxa"/>
            </w:tcMar>
            <w:hideMark/>
          </w:tcPr>
          <w:p w14:paraId="26DD6D98" w14:textId="77777777" w:rsidR="006E5C07" w:rsidRPr="006E5C07" w:rsidRDefault="006E5C07" w:rsidP="006E5C07">
            <w:pPr>
              <w:spacing w:after="0" w:line="240" w:lineRule="auto"/>
              <w:jc w:val="right"/>
              <w:rPr>
                <w:rFonts w:ascii="Calibri" w:eastAsia="Times New Roman" w:hAnsi="Calibri" w:cs="Calibri"/>
              </w:rPr>
            </w:pPr>
          </w:p>
        </w:tc>
        <w:tc>
          <w:tcPr>
            <w:tcW w:w="824" w:type="dxa"/>
            <w:tcBorders>
              <w:top w:val="nil"/>
              <w:left w:val="nil"/>
              <w:bottom w:val="single" w:sz="8" w:space="0" w:color="auto"/>
              <w:right w:val="nil"/>
            </w:tcBorders>
            <w:tcMar>
              <w:top w:w="0" w:type="dxa"/>
              <w:left w:w="108" w:type="dxa"/>
              <w:bottom w:w="0" w:type="dxa"/>
              <w:right w:w="108" w:type="dxa"/>
            </w:tcMar>
            <w:hideMark/>
          </w:tcPr>
          <w:p w14:paraId="17C22F7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(964)</w:t>
            </w:r>
          </w:p>
        </w:tc>
      </w:tr>
      <w:tr w:rsidR="006E5C07" w:rsidRPr="006E5C07" w14:paraId="1832E8F7" w14:textId="77777777" w:rsidTr="006E5C07">
        <w:tc>
          <w:tcPr>
            <w:tcW w:w="2047" w:type="dxa"/>
            <w:tcMar>
              <w:top w:w="0" w:type="dxa"/>
              <w:left w:w="108" w:type="dxa"/>
              <w:bottom w:w="0" w:type="dxa"/>
              <w:right w:w="108" w:type="dxa"/>
            </w:tcMar>
            <w:hideMark/>
          </w:tcPr>
          <w:p w14:paraId="4199E311"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At 31 December 2018</w:t>
            </w:r>
          </w:p>
        </w:tc>
        <w:tc>
          <w:tcPr>
            <w:tcW w:w="498" w:type="dxa"/>
            <w:tcBorders>
              <w:top w:val="nil"/>
              <w:left w:val="nil"/>
              <w:bottom w:val="nil"/>
              <w:right w:val="nil"/>
            </w:tcBorders>
            <w:tcMar>
              <w:top w:w="0" w:type="dxa"/>
              <w:left w:w="108" w:type="dxa"/>
              <w:bottom w:w="0" w:type="dxa"/>
              <w:right w:w="108" w:type="dxa"/>
            </w:tcMar>
            <w:hideMark/>
          </w:tcPr>
          <w:p w14:paraId="47A8E94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195</w:t>
            </w:r>
          </w:p>
        </w:tc>
        <w:tc>
          <w:tcPr>
            <w:tcW w:w="63" w:type="dxa"/>
            <w:tcMar>
              <w:top w:w="0" w:type="dxa"/>
              <w:left w:w="108" w:type="dxa"/>
              <w:bottom w:w="0" w:type="dxa"/>
              <w:right w:w="108" w:type="dxa"/>
            </w:tcMar>
            <w:hideMark/>
          </w:tcPr>
          <w:p w14:paraId="360B1EEB" w14:textId="77777777" w:rsidR="006E5C07" w:rsidRPr="006E5C07" w:rsidRDefault="006E5C07" w:rsidP="006E5C07">
            <w:pPr>
              <w:spacing w:after="0" w:line="240" w:lineRule="auto"/>
              <w:jc w:val="right"/>
              <w:rPr>
                <w:rFonts w:ascii="Calibri" w:eastAsia="Times New Roman" w:hAnsi="Calibri" w:cs="Calibri"/>
              </w:rPr>
            </w:pPr>
          </w:p>
        </w:tc>
        <w:tc>
          <w:tcPr>
            <w:tcW w:w="780" w:type="dxa"/>
            <w:tcBorders>
              <w:top w:val="nil"/>
              <w:left w:val="nil"/>
              <w:bottom w:val="nil"/>
              <w:right w:val="nil"/>
            </w:tcBorders>
            <w:tcMar>
              <w:top w:w="0" w:type="dxa"/>
              <w:left w:w="108" w:type="dxa"/>
              <w:bottom w:w="0" w:type="dxa"/>
              <w:right w:w="108" w:type="dxa"/>
            </w:tcMar>
            <w:hideMark/>
          </w:tcPr>
          <w:p w14:paraId="63ADDF15"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4,868</w:t>
            </w:r>
          </w:p>
        </w:tc>
        <w:tc>
          <w:tcPr>
            <w:tcW w:w="63" w:type="dxa"/>
            <w:tcMar>
              <w:top w:w="0" w:type="dxa"/>
              <w:left w:w="108" w:type="dxa"/>
              <w:bottom w:w="0" w:type="dxa"/>
              <w:right w:w="108" w:type="dxa"/>
            </w:tcMar>
            <w:hideMark/>
          </w:tcPr>
          <w:p w14:paraId="20540DEF" w14:textId="77777777" w:rsidR="006E5C07" w:rsidRPr="006E5C07" w:rsidRDefault="006E5C07" w:rsidP="006E5C07">
            <w:pPr>
              <w:spacing w:after="0" w:line="240" w:lineRule="auto"/>
              <w:jc w:val="right"/>
              <w:rPr>
                <w:rFonts w:ascii="Calibri" w:eastAsia="Times New Roman" w:hAnsi="Calibri" w:cs="Calibri"/>
              </w:rPr>
            </w:pPr>
          </w:p>
        </w:tc>
        <w:tc>
          <w:tcPr>
            <w:tcW w:w="639" w:type="dxa"/>
            <w:tcBorders>
              <w:top w:val="nil"/>
              <w:left w:val="nil"/>
              <w:bottom w:val="nil"/>
              <w:right w:val="nil"/>
            </w:tcBorders>
            <w:tcMar>
              <w:top w:w="0" w:type="dxa"/>
              <w:left w:w="108" w:type="dxa"/>
              <w:bottom w:w="0" w:type="dxa"/>
              <w:right w:w="108" w:type="dxa"/>
            </w:tcMar>
            <w:hideMark/>
          </w:tcPr>
          <w:p w14:paraId="53A7537A"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233</w:t>
            </w:r>
          </w:p>
        </w:tc>
        <w:tc>
          <w:tcPr>
            <w:tcW w:w="68" w:type="dxa"/>
            <w:tcMar>
              <w:top w:w="0" w:type="dxa"/>
              <w:left w:w="108" w:type="dxa"/>
              <w:bottom w:w="0" w:type="dxa"/>
              <w:right w:w="108" w:type="dxa"/>
            </w:tcMar>
            <w:hideMark/>
          </w:tcPr>
          <w:p w14:paraId="553A5E5D" w14:textId="77777777" w:rsidR="006E5C07" w:rsidRPr="006E5C07" w:rsidRDefault="006E5C07" w:rsidP="006E5C07">
            <w:pPr>
              <w:spacing w:after="0" w:line="240" w:lineRule="auto"/>
              <w:jc w:val="right"/>
              <w:rPr>
                <w:rFonts w:ascii="Calibri" w:eastAsia="Times New Roman" w:hAnsi="Calibri" w:cs="Calibri"/>
              </w:rPr>
            </w:pPr>
          </w:p>
        </w:tc>
        <w:tc>
          <w:tcPr>
            <w:tcW w:w="772" w:type="dxa"/>
            <w:tcBorders>
              <w:top w:val="nil"/>
              <w:left w:val="nil"/>
              <w:bottom w:val="nil"/>
              <w:right w:val="nil"/>
            </w:tcBorders>
            <w:tcMar>
              <w:top w:w="0" w:type="dxa"/>
              <w:left w:w="108" w:type="dxa"/>
              <w:bottom w:w="0" w:type="dxa"/>
              <w:right w:w="108" w:type="dxa"/>
            </w:tcMar>
            <w:hideMark/>
          </w:tcPr>
          <w:p w14:paraId="3B42F6F8"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2,858</w:t>
            </w:r>
          </w:p>
        </w:tc>
        <w:tc>
          <w:tcPr>
            <w:tcW w:w="67" w:type="dxa"/>
            <w:tcMar>
              <w:top w:w="0" w:type="dxa"/>
              <w:left w:w="108" w:type="dxa"/>
              <w:bottom w:w="0" w:type="dxa"/>
              <w:right w:w="108" w:type="dxa"/>
            </w:tcMar>
            <w:hideMark/>
          </w:tcPr>
          <w:p w14:paraId="13095220" w14:textId="77777777" w:rsidR="006E5C07" w:rsidRPr="006E5C07" w:rsidRDefault="006E5C07" w:rsidP="006E5C07">
            <w:pPr>
              <w:spacing w:after="0" w:line="240" w:lineRule="auto"/>
              <w:jc w:val="right"/>
              <w:rPr>
                <w:rFonts w:ascii="Calibri" w:eastAsia="Times New Roman" w:hAnsi="Calibri" w:cs="Calibri"/>
              </w:rPr>
            </w:pPr>
          </w:p>
        </w:tc>
        <w:tc>
          <w:tcPr>
            <w:tcW w:w="918" w:type="dxa"/>
            <w:tcBorders>
              <w:top w:val="nil"/>
              <w:left w:val="nil"/>
              <w:bottom w:val="nil"/>
              <w:right w:val="nil"/>
            </w:tcBorders>
            <w:tcMar>
              <w:top w:w="0" w:type="dxa"/>
              <w:left w:w="108" w:type="dxa"/>
              <w:bottom w:w="0" w:type="dxa"/>
              <w:right w:w="108" w:type="dxa"/>
            </w:tcMar>
            <w:hideMark/>
          </w:tcPr>
          <w:p w14:paraId="67A05AC8"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233</w:t>
            </w:r>
          </w:p>
        </w:tc>
        <w:tc>
          <w:tcPr>
            <w:tcW w:w="20" w:type="dxa"/>
            <w:tcMar>
              <w:top w:w="0" w:type="dxa"/>
              <w:left w:w="108" w:type="dxa"/>
              <w:bottom w:w="0" w:type="dxa"/>
              <w:right w:w="108" w:type="dxa"/>
            </w:tcMar>
            <w:hideMark/>
          </w:tcPr>
          <w:p w14:paraId="0DC79D9A" w14:textId="77777777" w:rsidR="006E5C07" w:rsidRPr="006E5C07" w:rsidRDefault="006E5C07" w:rsidP="006E5C07">
            <w:pPr>
              <w:spacing w:after="0" w:line="240" w:lineRule="auto"/>
              <w:jc w:val="right"/>
              <w:rPr>
                <w:rFonts w:ascii="Calibri" w:eastAsia="Times New Roman" w:hAnsi="Calibri" w:cs="Calibri"/>
              </w:rPr>
            </w:pPr>
          </w:p>
        </w:tc>
        <w:tc>
          <w:tcPr>
            <w:tcW w:w="824" w:type="dxa"/>
            <w:tcBorders>
              <w:top w:val="nil"/>
              <w:left w:val="nil"/>
              <w:bottom w:val="nil"/>
              <w:right w:val="nil"/>
            </w:tcBorders>
            <w:tcMar>
              <w:top w:w="0" w:type="dxa"/>
              <w:left w:w="108" w:type="dxa"/>
              <w:bottom w:w="0" w:type="dxa"/>
              <w:right w:w="108" w:type="dxa"/>
            </w:tcMar>
            <w:hideMark/>
          </w:tcPr>
          <w:p w14:paraId="3DF5C27C"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8,387</w:t>
            </w:r>
          </w:p>
        </w:tc>
      </w:tr>
      <w:tr w:rsidR="006E5C07" w:rsidRPr="006E5C07" w14:paraId="111D48F8" w14:textId="77777777" w:rsidTr="006E5C07">
        <w:tc>
          <w:tcPr>
            <w:tcW w:w="2047" w:type="dxa"/>
            <w:tcMar>
              <w:top w:w="0" w:type="dxa"/>
              <w:left w:w="108" w:type="dxa"/>
              <w:bottom w:w="0" w:type="dxa"/>
              <w:right w:w="108" w:type="dxa"/>
            </w:tcMar>
            <w:hideMark/>
          </w:tcPr>
          <w:p w14:paraId="741FFE01"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as restated</w:t>
            </w:r>
          </w:p>
        </w:tc>
        <w:tc>
          <w:tcPr>
            <w:tcW w:w="498" w:type="dxa"/>
            <w:tcMar>
              <w:top w:w="0" w:type="dxa"/>
              <w:left w:w="108" w:type="dxa"/>
              <w:bottom w:w="0" w:type="dxa"/>
              <w:right w:w="108" w:type="dxa"/>
            </w:tcMar>
            <w:hideMark/>
          </w:tcPr>
          <w:p w14:paraId="0A606800" w14:textId="77777777" w:rsidR="006E5C07" w:rsidRPr="006E5C07" w:rsidRDefault="006E5C07" w:rsidP="006E5C07">
            <w:pPr>
              <w:spacing w:after="0" w:line="240" w:lineRule="auto"/>
              <w:jc w:val="right"/>
              <w:rPr>
                <w:rFonts w:ascii="Calibri" w:eastAsia="Times New Roman" w:hAnsi="Calibri" w:cs="Calibri"/>
              </w:rPr>
            </w:pPr>
          </w:p>
        </w:tc>
        <w:tc>
          <w:tcPr>
            <w:tcW w:w="63" w:type="dxa"/>
            <w:tcMar>
              <w:top w:w="0" w:type="dxa"/>
              <w:left w:w="108" w:type="dxa"/>
              <w:bottom w:w="0" w:type="dxa"/>
              <w:right w:w="108" w:type="dxa"/>
            </w:tcMar>
            <w:hideMark/>
          </w:tcPr>
          <w:p w14:paraId="2F827063" w14:textId="77777777" w:rsidR="006E5C07" w:rsidRPr="006E5C07" w:rsidRDefault="006E5C07" w:rsidP="006E5C07">
            <w:pPr>
              <w:spacing w:after="0" w:line="240" w:lineRule="auto"/>
              <w:jc w:val="right"/>
              <w:rPr>
                <w:rFonts w:ascii="Calibri" w:eastAsia="Times New Roman" w:hAnsi="Calibri" w:cs="Calibri"/>
              </w:rPr>
            </w:pPr>
          </w:p>
        </w:tc>
        <w:tc>
          <w:tcPr>
            <w:tcW w:w="780" w:type="dxa"/>
            <w:tcMar>
              <w:top w:w="0" w:type="dxa"/>
              <w:left w:w="108" w:type="dxa"/>
              <w:bottom w:w="0" w:type="dxa"/>
              <w:right w:w="108" w:type="dxa"/>
            </w:tcMar>
            <w:hideMark/>
          </w:tcPr>
          <w:p w14:paraId="3A1E5C22" w14:textId="77777777" w:rsidR="006E5C07" w:rsidRPr="006E5C07" w:rsidRDefault="006E5C07" w:rsidP="006E5C07">
            <w:pPr>
              <w:spacing w:after="0" w:line="240" w:lineRule="auto"/>
              <w:jc w:val="right"/>
              <w:rPr>
                <w:rFonts w:ascii="Calibri" w:eastAsia="Times New Roman" w:hAnsi="Calibri" w:cs="Calibri"/>
              </w:rPr>
            </w:pPr>
          </w:p>
        </w:tc>
        <w:tc>
          <w:tcPr>
            <w:tcW w:w="63" w:type="dxa"/>
            <w:tcMar>
              <w:top w:w="0" w:type="dxa"/>
              <w:left w:w="108" w:type="dxa"/>
              <w:bottom w:w="0" w:type="dxa"/>
              <w:right w:w="108" w:type="dxa"/>
            </w:tcMar>
            <w:hideMark/>
          </w:tcPr>
          <w:p w14:paraId="39C159D8" w14:textId="77777777" w:rsidR="006E5C07" w:rsidRPr="006E5C07" w:rsidRDefault="006E5C07" w:rsidP="006E5C07">
            <w:pPr>
              <w:spacing w:after="0" w:line="240" w:lineRule="auto"/>
              <w:jc w:val="right"/>
              <w:rPr>
                <w:rFonts w:ascii="Calibri" w:eastAsia="Times New Roman" w:hAnsi="Calibri" w:cs="Calibri"/>
              </w:rPr>
            </w:pPr>
          </w:p>
        </w:tc>
        <w:tc>
          <w:tcPr>
            <w:tcW w:w="639" w:type="dxa"/>
            <w:tcMar>
              <w:top w:w="0" w:type="dxa"/>
              <w:left w:w="108" w:type="dxa"/>
              <w:bottom w:w="0" w:type="dxa"/>
              <w:right w:w="108" w:type="dxa"/>
            </w:tcMar>
            <w:hideMark/>
          </w:tcPr>
          <w:p w14:paraId="49A096F9" w14:textId="77777777" w:rsidR="006E5C07" w:rsidRPr="006E5C07" w:rsidRDefault="006E5C07" w:rsidP="006E5C07">
            <w:pPr>
              <w:spacing w:after="0" w:line="240" w:lineRule="auto"/>
              <w:jc w:val="right"/>
              <w:rPr>
                <w:rFonts w:ascii="Calibri" w:eastAsia="Times New Roman" w:hAnsi="Calibri" w:cs="Calibri"/>
              </w:rPr>
            </w:pPr>
          </w:p>
        </w:tc>
        <w:tc>
          <w:tcPr>
            <w:tcW w:w="68" w:type="dxa"/>
            <w:tcMar>
              <w:top w:w="0" w:type="dxa"/>
              <w:left w:w="108" w:type="dxa"/>
              <w:bottom w:w="0" w:type="dxa"/>
              <w:right w:w="108" w:type="dxa"/>
            </w:tcMar>
            <w:hideMark/>
          </w:tcPr>
          <w:p w14:paraId="30CCB0B0" w14:textId="77777777" w:rsidR="006E5C07" w:rsidRPr="006E5C07" w:rsidRDefault="006E5C07" w:rsidP="006E5C07">
            <w:pPr>
              <w:spacing w:after="0" w:line="240" w:lineRule="auto"/>
              <w:jc w:val="right"/>
              <w:rPr>
                <w:rFonts w:ascii="Calibri" w:eastAsia="Times New Roman" w:hAnsi="Calibri" w:cs="Calibri"/>
              </w:rPr>
            </w:pPr>
          </w:p>
        </w:tc>
        <w:tc>
          <w:tcPr>
            <w:tcW w:w="772" w:type="dxa"/>
            <w:tcMar>
              <w:top w:w="0" w:type="dxa"/>
              <w:left w:w="108" w:type="dxa"/>
              <w:bottom w:w="0" w:type="dxa"/>
              <w:right w:w="108" w:type="dxa"/>
            </w:tcMar>
            <w:hideMark/>
          </w:tcPr>
          <w:p w14:paraId="37A32ECC" w14:textId="77777777" w:rsidR="006E5C07" w:rsidRPr="006E5C07" w:rsidRDefault="006E5C07" w:rsidP="006E5C07">
            <w:pPr>
              <w:spacing w:after="0" w:line="240" w:lineRule="auto"/>
              <w:jc w:val="right"/>
              <w:rPr>
                <w:rFonts w:ascii="Calibri" w:eastAsia="Times New Roman" w:hAnsi="Calibri" w:cs="Calibri"/>
              </w:rPr>
            </w:pPr>
          </w:p>
        </w:tc>
        <w:tc>
          <w:tcPr>
            <w:tcW w:w="67" w:type="dxa"/>
            <w:tcMar>
              <w:top w:w="0" w:type="dxa"/>
              <w:left w:w="108" w:type="dxa"/>
              <w:bottom w:w="0" w:type="dxa"/>
              <w:right w:w="108" w:type="dxa"/>
            </w:tcMar>
            <w:hideMark/>
          </w:tcPr>
          <w:p w14:paraId="0A47204E"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65AEFBCB" w14:textId="77777777" w:rsidR="006E5C07" w:rsidRPr="006E5C07" w:rsidRDefault="006E5C07" w:rsidP="006E5C07">
            <w:pPr>
              <w:spacing w:after="0" w:line="240" w:lineRule="auto"/>
              <w:jc w:val="right"/>
              <w:rPr>
                <w:rFonts w:ascii="Calibri" w:eastAsia="Times New Roman" w:hAnsi="Calibri" w:cs="Calibri"/>
              </w:rPr>
            </w:pPr>
          </w:p>
        </w:tc>
        <w:tc>
          <w:tcPr>
            <w:tcW w:w="20" w:type="dxa"/>
            <w:tcMar>
              <w:top w:w="0" w:type="dxa"/>
              <w:left w:w="108" w:type="dxa"/>
              <w:bottom w:w="0" w:type="dxa"/>
              <w:right w:w="108" w:type="dxa"/>
            </w:tcMar>
            <w:hideMark/>
          </w:tcPr>
          <w:p w14:paraId="04FE8213" w14:textId="77777777" w:rsidR="006E5C07" w:rsidRPr="006E5C07" w:rsidRDefault="006E5C07" w:rsidP="006E5C07">
            <w:pPr>
              <w:spacing w:after="0" w:line="240" w:lineRule="auto"/>
              <w:jc w:val="right"/>
              <w:rPr>
                <w:rFonts w:ascii="Calibri" w:eastAsia="Times New Roman" w:hAnsi="Calibri" w:cs="Calibri"/>
              </w:rPr>
            </w:pPr>
          </w:p>
        </w:tc>
        <w:tc>
          <w:tcPr>
            <w:tcW w:w="824" w:type="dxa"/>
            <w:tcMar>
              <w:top w:w="0" w:type="dxa"/>
              <w:left w:w="108" w:type="dxa"/>
              <w:bottom w:w="0" w:type="dxa"/>
              <w:right w:w="108" w:type="dxa"/>
            </w:tcMar>
            <w:hideMark/>
          </w:tcPr>
          <w:p w14:paraId="32D0D8E3"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1B1EF607" w14:textId="77777777" w:rsidTr="006E5C07">
        <w:tc>
          <w:tcPr>
            <w:tcW w:w="2047" w:type="dxa"/>
            <w:tcMar>
              <w:top w:w="0" w:type="dxa"/>
              <w:left w:w="108" w:type="dxa"/>
              <w:bottom w:w="0" w:type="dxa"/>
              <w:right w:w="108" w:type="dxa"/>
            </w:tcMar>
            <w:hideMark/>
          </w:tcPr>
          <w:p w14:paraId="2B851708"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Comprehensive</w:t>
            </w:r>
          </w:p>
        </w:tc>
        <w:tc>
          <w:tcPr>
            <w:tcW w:w="498" w:type="dxa"/>
            <w:tcMar>
              <w:top w:w="0" w:type="dxa"/>
              <w:left w:w="108" w:type="dxa"/>
              <w:bottom w:w="0" w:type="dxa"/>
              <w:right w:w="108" w:type="dxa"/>
            </w:tcMar>
            <w:hideMark/>
          </w:tcPr>
          <w:p w14:paraId="2BD14594" w14:textId="77777777" w:rsidR="006E5C07" w:rsidRPr="006E5C07" w:rsidRDefault="006E5C07" w:rsidP="006E5C07">
            <w:pPr>
              <w:spacing w:after="0" w:line="240" w:lineRule="auto"/>
              <w:jc w:val="right"/>
              <w:rPr>
                <w:rFonts w:ascii="Calibri" w:eastAsia="Times New Roman" w:hAnsi="Calibri" w:cs="Calibri"/>
              </w:rPr>
            </w:pPr>
          </w:p>
        </w:tc>
        <w:tc>
          <w:tcPr>
            <w:tcW w:w="63" w:type="dxa"/>
            <w:tcMar>
              <w:top w:w="0" w:type="dxa"/>
              <w:left w:w="108" w:type="dxa"/>
              <w:bottom w:w="0" w:type="dxa"/>
              <w:right w:w="108" w:type="dxa"/>
            </w:tcMar>
            <w:hideMark/>
          </w:tcPr>
          <w:p w14:paraId="16671709" w14:textId="77777777" w:rsidR="006E5C07" w:rsidRPr="006E5C07" w:rsidRDefault="006E5C07" w:rsidP="006E5C07">
            <w:pPr>
              <w:spacing w:after="0" w:line="240" w:lineRule="auto"/>
              <w:jc w:val="right"/>
              <w:rPr>
                <w:rFonts w:ascii="Calibri" w:eastAsia="Times New Roman" w:hAnsi="Calibri" w:cs="Calibri"/>
              </w:rPr>
            </w:pPr>
          </w:p>
        </w:tc>
        <w:tc>
          <w:tcPr>
            <w:tcW w:w="780" w:type="dxa"/>
            <w:tcMar>
              <w:top w:w="0" w:type="dxa"/>
              <w:left w:w="108" w:type="dxa"/>
              <w:bottom w:w="0" w:type="dxa"/>
              <w:right w:w="108" w:type="dxa"/>
            </w:tcMar>
            <w:hideMark/>
          </w:tcPr>
          <w:p w14:paraId="0BEB66B3" w14:textId="77777777" w:rsidR="006E5C07" w:rsidRPr="006E5C07" w:rsidRDefault="006E5C07" w:rsidP="006E5C07">
            <w:pPr>
              <w:spacing w:after="0" w:line="240" w:lineRule="auto"/>
              <w:jc w:val="right"/>
              <w:rPr>
                <w:rFonts w:ascii="Calibri" w:eastAsia="Times New Roman" w:hAnsi="Calibri" w:cs="Calibri"/>
              </w:rPr>
            </w:pPr>
          </w:p>
        </w:tc>
        <w:tc>
          <w:tcPr>
            <w:tcW w:w="63" w:type="dxa"/>
            <w:tcMar>
              <w:top w:w="0" w:type="dxa"/>
              <w:left w:w="108" w:type="dxa"/>
              <w:bottom w:w="0" w:type="dxa"/>
              <w:right w:w="108" w:type="dxa"/>
            </w:tcMar>
            <w:hideMark/>
          </w:tcPr>
          <w:p w14:paraId="60CF9DDE" w14:textId="77777777" w:rsidR="006E5C07" w:rsidRPr="006E5C07" w:rsidRDefault="006E5C07" w:rsidP="006E5C07">
            <w:pPr>
              <w:spacing w:after="0" w:line="240" w:lineRule="auto"/>
              <w:jc w:val="right"/>
              <w:rPr>
                <w:rFonts w:ascii="Calibri" w:eastAsia="Times New Roman" w:hAnsi="Calibri" w:cs="Calibri"/>
              </w:rPr>
            </w:pPr>
          </w:p>
        </w:tc>
        <w:tc>
          <w:tcPr>
            <w:tcW w:w="639" w:type="dxa"/>
            <w:tcMar>
              <w:top w:w="0" w:type="dxa"/>
              <w:left w:w="108" w:type="dxa"/>
              <w:bottom w:w="0" w:type="dxa"/>
              <w:right w:w="108" w:type="dxa"/>
            </w:tcMar>
            <w:hideMark/>
          </w:tcPr>
          <w:p w14:paraId="17E83A5F" w14:textId="77777777" w:rsidR="006E5C07" w:rsidRPr="006E5C07" w:rsidRDefault="006E5C07" w:rsidP="006E5C07">
            <w:pPr>
              <w:spacing w:after="0" w:line="240" w:lineRule="auto"/>
              <w:jc w:val="right"/>
              <w:rPr>
                <w:rFonts w:ascii="Calibri" w:eastAsia="Times New Roman" w:hAnsi="Calibri" w:cs="Calibri"/>
              </w:rPr>
            </w:pPr>
          </w:p>
        </w:tc>
        <w:tc>
          <w:tcPr>
            <w:tcW w:w="68" w:type="dxa"/>
            <w:tcMar>
              <w:top w:w="0" w:type="dxa"/>
              <w:left w:w="108" w:type="dxa"/>
              <w:bottom w:w="0" w:type="dxa"/>
              <w:right w:w="108" w:type="dxa"/>
            </w:tcMar>
            <w:hideMark/>
          </w:tcPr>
          <w:p w14:paraId="4314177E" w14:textId="77777777" w:rsidR="006E5C07" w:rsidRPr="006E5C07" w:rsidRDefault="006E5C07" w:rsidP="006E5C07">
            <w:pPr>
              <w:spacing w:after="0" w:line="240" w:lineRule="auto"/>
              <w:jc w:val="right"/>
              <w:rPr>
                <w:rFonts w:ascii="Calibri" w:eastAsia="Times New Roman" w:hAnsi="Calibri" w:cs="Calibri"/>
              </w:rPr>
            </w:pPr>
          </w:p>
        </w:tc>
        <w:tc>
          <w:tcPr>
            <w:tcW w:w="772" w:type="dxa"/>
            <w:tcMar>
              <w:top w:w="0" w:type="dxa"/>
              <w:left w:w="108" w:type="dxa"/>
              <w:bottom w:w="0" w:type="dxa"/>
              <w:right w:w="108" w:type="dxa"/>
            </w:tcMar>
            <w:hideMark/>
          </w:tcPr>
          <w:p w14:paraId="74D61376" w14:textId="77777777" w:rsidR="006E5C07" w:rsidRPr="006E5C07" w:rsidRDefault="006E5C07" w:rsidP="006E5C07">
            <w:pPr>
              <w:spacing w:after="0" w:line="240" w:lineRule="auto"/>
              <w:jc w:val="right"/>
              <w:rPr>
                <w:rFonts w:ascii="Calibri" w:eastAsia="Times New Roman" w:hAnsi="Calibri" w:cs="Calibri"/>
              </w:rPr>
            </w:pPr>
          </w:p>
        </w:tc>
        <w:tc>
          <w:tcPr>
            <w:tcW w:w="67" w:type="dxa"/>
            <w:tcMar>
              <w:top w:w="0" w:type="dxa"/>
              <w:left w:w="108" w:type="dxa"/>
              <w:bottom w:w="0" w:type="dxa"/>
              <w:right w:w="108" w:type="dxa"/>
            </w:tcMar>
            <w:hideMark/>
          </w:tcPr>
          <w:p w14:paraId="53B59C23"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7933D7BB" w14:textId="77777777" w:rsidR="006E5C07" w:rsidRPr="006E5C07" w:rsidRDefault="006E5C07" w:rsidP="006E5C07">
            <w:pPr>
              <w:spacing w:after="0" w:line="240" w:lineRule="auto"/>
              <w:jc w:val="right"/>
              <w:rPr>
                <w:rFonts w:ascii="Calibri" w:eastAsia="Times New Roman" w:hAnsi="Calibri" w:cs="Calibri"/>
              </w:rPr>
            </w:pPr>
          </w:p>
        </w:tc>
        <w:tc>
          <w:tcPr>
            <w:tcW w:w="20" w:type="dxa"/>
            <w:tcMar>
              <w:top w:w="0" w:type="dxa"/>
              <w:left w:w="108" w:type="dxa"/>
              <w:bottom w:w="0" w:type="dxa"/>
              <w:right w:w="108" w:type="dxa"/>
            </w:tcMar>
            <w:hideMark/>
          </w:tcPr>
          <w:p w14:paraId="54E82C26" w14:textId="77777777" w:rsidR="006E5C07" w:rsidRPr="006E5C07" w:rsidRDefault="006E5C07" w:rsidP="006E5C07">
            <w:pPr>
              <w:spacing w:after="0" w:line="240" w:lineRule="auto"/>
              <w:jc w:val="right"/>
              <w:rPr>
                <w:rFonts w:ascii="Calibri" w:eastAsia="Times New Roman" w:hAnsi="Calibri" w:cs="Calibri"/>
              </w:rPr>
            </w:pPr>
          </w:p>
        </w:tc>
        <w:tc>
          <w:tcPr>
            <w:tcW w:w="824" w:type="dxa"/>
            <w:tcMar>
              <w:top w:w="0" w:type="dxa"/>
              <w:left w:w="108" w:type="dxa"/>
              <w:bottom w:w="0" w:type="dxa"/>
              <w:right w:w="108" w:type="dxa"/>
            </w:tcMar>
            <w:hideMark/>
          </w:tcPr>
          <w:p w14:paraId="69F29A86"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26229528" w14:textId="77777777" w:rsidTr="006E5C07">
        <w:tc>
          <w:tcPr>
            <w:tcW w:w="2047" w:type="dxa"/>
            <w:tcMar>
              <w:top w:w="0" w:type="dxa"/>
              <w:left w:w="108" w:type="dxa"/>
              <w:bottom w:w="0" w:type="dxa"/>
              <w:right w:w="108" w:type="dxa"/>
            </w:tcMar>
            <w:hideMark/>
          </w:tcPr>
          <w:p w14:paraId="0DD11AE0"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income:</w:t>
            </w:r>
          </w:p>
        </w:tc>
        <w:tc>
          <w:tcPr>
            <w:tcW w:w="498" w:type="dxa"/>
            <w:tcMar>
              <w:top w:w="0" w:type="dxa"/>
              <w:left w:w="108" w:type="dxa"/>
              <w:bottom w:w="0" w:type="dxa"/>
              <w:right w:w="108" w:type="dxa"/>
            </w:tcMar>
            <w:hideMark/>
          </w:tcPr>
          <w:p w14:paraId="2A00BCEC" w14:textId="77777777" w:rsidR="006E5C07" w:rsidRPr="006E5C07" w:rsidRDefault="006E5C07" w:rsidP="006E5C07">
            <w:pPr>
              <w:spacing w:after="0" w:line="240" w:lineRule="auto"/>
              <w:jc w:val="right"/>
              <w:rPr>
                <w:rFonts w:ascii="Calibri" w:eastAsia="Times New Roman" w:hAnsi="Calibri" w:cs="Calibri"/>
              </w:rPr>
            </w:pPr>
          </w:p>
        </w:tc>
        <w:tc>
          <w:tcPr>
            <w:tcW w:w="63" w:type="dxa"/>
            <w:tcMar>
              <w:top w:w="0" w:type="dxa"/>
              <w:left w:w="108" w:type="dxa"/>
              <w:bottom w:w="0" w:type="dxa"/>
              <w:right w:w="108" w:type="dxa"/>
            </w:tcMar>
            <w:hideMark/>
          </w:tcPr>
          <w:p w14:paraId="795C7063" w14:textId="77777777" w:rsidR="006E5C07" w:rsidRPr="006E5C07" w:rsidRDefault="006E5C07" w:rsidP="006E5C07">
            <w:pPr>
              <w:spacing w:after="0" w:line="240" w:lineRule="auto"/>
              <w:jc w:val="right"/>
              <w:rPr>
                <w:rFonts w:ascii="Calibri" w:eastAsia="Times New Roman" w:hAnsi="Calibri" w:cs="Calibri"/>
              </w:rPr>
            </w:pPr>
          </w:p>
        </w:tc>
        <w:tc>
          <w:tcPr>
            <w:tcW w:w="780" w:type="dxa"/>
            <w:tcMar>
              <w:top w:w="0" w:type="dxa"/>
              <w:left w:w="108" w:type="dxa"/>
              <w:bottom w:w="0" w:type="dxa"/>
              <w:right w:w="108" w:type="dxa"/>
            </w:tcMar>
            <w:hideMark/>
          </w:tcPr>
          <w:p w14:paraId="6A50912E" w14:textId="77777777" w:rsidR="006E5C07" w:rsidRPr="006E5C07" w:rsidRDefault="006E5C07" w:rsidP="006E5C07">
            <w:pPr>
              <w:spacing w:after="0" w:line="240" w:lineRule="auto"/>
              <w:jc w:val="right"/>
              <w:rPr>
                <w:rFonts w:ascii="Calibri" w:eastAsia="Times New Roman" w:hAnsi="Calibri" w:cs="Calibri"/>
              </w:rPr>
            </w:pPr>
          </w:p>
        </w:tc>
        <w:tc>
          <w:tcPr>
            <w:tcW w:w="63" w:type="dxa"/>
            <w:tcMar>
              <w:top w:w="0" w:type="dxa"/>
              <w:left w:w="108" w:type="dxa"/>
              <w:bottom w:w="0" w:type="dxa"/>
              <w:right w:w="108" w:type="dxa"/>
            </w:tcMar>
            <w:hideMark/>
          </w:tcPr>
          <w:p w14:paraId="2FDE7E6F" w14:textId="77777777" w:rsidR="006E5C07" w:rsidRPr="006E5C07" w:rsidRDefault="006E5C07" w:rsidP="006E5C07">
            <w:pPr>
              <w:spacing w:after="0" w:line="240" w:lineRule="auto"/>
              <w:jc w:val="right"/>
              <w:rPr>
                <w:rFonts w:ascii="Calibri" w:eastAsia="Times New Roman" w:hAnsi="Calibri" w:cs="Calibri"/>
              </w:rPr>
            </w:pPr>
          </w:p>
        </w:tc>
        <w:tc>
          <w:tcPr>
            <w:tcW w:w="639" w:type="dxa"/>
            <w:tcMar>
              <w:top w:w="0" w:type="dxa"/>
              <w:left w:w="108" w:type="dxa"/>
              <w:bottom w:w="0" w:type="dxa"/>
              <w:right w:w="108" w:type="dxa"/>
            </w:tcMar>
            <w:hideMark/>
          </w:tcPr>
          <w:p w14:paraId="05A5314F" w14:textId="77777777" w:rsidR="006E5C07" w:rsidRPr="006E5C07" w:rsidRDefault="006E5C07" w:rsidP="006E5C07">
            <w:pPr>
              <w:spacing w:after="0" w:line="240" w:lineRule="auto"/>
              <w:jc w:val="right"/>
              <w:rPr>
                <w:rFonts w:ascii="Calibri" w:eastAsia="Times New Roman" w:hAnsi="Calibri" w:cs="Calibri"/>
              </w:rPr>
            </w:pPr>
          </w:p>
        </w:tc>
        <w:tc>
          <w:tcPr>
            <w:tcW w:w="68" w:type="dxa"/>
            <w:tcMar>
              <w:top w:w="0" w:type="dxa"/>
              <w:left w:w="108" w:type="dxa"/>
              <w:bottom w:w="0" w:type="dxa"/>
              <w:right w:w="108" w:type="dxa"/>
            </w:tcMar>
            <w:hideMark/>
          </w:tcPr>
          <w:p w14:paraId="2D615408" w14:textId="77777777" w:rsidR="006E5C07" w:rsidRPr="006E5C07" w:rsidRDefault="006E5C07" w:rsidP="006E5C07">
            <w:pPr>
              <w:spacing w:after="0" w:line="240" w:lineRule="auto"/>
              <w:jc w:val="right"/>
              <w:rPr>
                <w:rFonts w:ascii="Calibri" w:eastAsia="Times New Roman" w:hAnsi="Calibri" w:cs="Calibri"/>
              </w:rPr>
            </w:pPr>
          </w:p>
        </w:tc>
        <w:tc>
          <w:tcPr>
            <w:tcW w:w="772" w:type="dxa"/>
            <w:tcMar>
              <w:top w:w="0" w:type="dxa"/>
              <w:left w:w="108" w:type="dxa"/>
              <w:bottom w:w="0" w:type="dxa"/>
              <w:right w:w="108" w:type="dxa"/>
            </w:tcMar>
            <w:hideMark/>
          </w:tcPr>
          <w:p w14:paraId="09E17074" w14:textId="77777777" w:rsidR="006E5C07" w:rsidRPr="006E5C07" w:rsidRDefault="006E5C07" w:rsidP="006E5C07">
            <w:pPr>
              <w:spacing w:after="0" w:line="240" w:lineRule="auto"/>
              <w:jc w:val="right"/>
              <w:rPr>
                <w:rFonts w:ascii="Calibri" w:eastAsia="Times New Roman" w:hAnsi="Calibri" w:cs="Calibri"/>
              </w:rPr>
            </w:pPr>
          </w:p>
        </w:tc>
        <w:tc>
          <w:tcPr>
            <w:tcW w:w="67" w:type="dxa"/>
            <w:tcMar>
              <w:top w:w="0" w:type="dxa"/>
              <w:left w:w="108" w:type="dxa"/>
              <w:bottom w:w="0" w:type="dxa"/>
              <w:right w:w="108" w:type="dxa"/>
            </w:tcMar>
            <w:hideMark/>
          </w:tcPr>
          <w:p w14:paraId="28A3D8CD"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30C0EEF7" w14:textId="77777777" w:rsidR="006E5C07" w:rsidRPr="006E5C07" w:rsidRDefault="006E5C07" w:rsidP="006E5C07">
            <w:pPr>
              <w:spacing w:after="0" w:line="240" w:lineRule="auto"/>
              <w:jc w:val="right"/>
              <w:rPr>
                <w:rFonts w:ascii="Calibri" w:eastAsia="Times New Roman" w:hAnsi="Calibri" w:cs="Calibri"/>
              </w:rPr>
            </w:pPr>
          </w:p>
        </w:tc>
        <w:tc>
          <w:tcPr>
            <w:tcW w:w="20" w:type="dxa"/>
            <w:tcMar>
              <w:top w:w="0" w:type="dxa"/>
              <w:left w:w="108" w:type="dxa"/>
              <w:bottom w:w="0" w:type="dxa"/>
              <w:right w:w="108" w:type="dxa"/>
            </w:tcMar>
            <w:hideMark/>
          </w:tcPr>
          <w:p w14:paraId="749C3FEF" w14:textId="77777777" w:rsidR="006E5C07" w:rsidRPr="006E5C07" w:rsidRDefault="006E5C07" w:rsidP="006E5C07">
            <w:pPr>
              <w:spacing w:after="0" w:line="240" w:lineRule="auto"/>
              <w:jc w:val="right"/>
              <w:rPr>
                <w:rFonts w:ascii="Calibri" w:eastAsia="Times New Roman" w:hAnsi="Calibri" w:cs="Calibri"/>
              </w:rPr>
            </w:pPr>
          </w:p>
        </w:tc>
        <w:tc>
          <w:tcPr>
            <w:tcW w:w="824" w:type="dxa"/>
            <w:tcMar>
              <w:top w:w="0" w:type="dxa"/>
              <w:left w:w="108" w:type="dxa"/>
              <w:bottom w:w="0" w:type="dxa"/>
              <w:right w:w="108" w:type="dxa"/>
            </w:tcMar>
            <w:hideMark/>
          </w:tcPr>
          <w:p w14:paraId="294DBB99"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04232D98" w14:textId="77777777" w:rsidTr="006E5C07">
        <w:tc>
          <w:tcPr>
            <w:tcW w:w="2047" w:type="dxa"/>
            <w:tcMar>
              <w:top w:w="0" w:type="dxa"/>
              <w:left w:w="108" w:type="dxa"/>
              <w:bottom w:w="0" w:type="dxa"/>
              <w:right w:w="108" w:type="dxa"/>
            </w:tcMar>
            <w:hideMark/>
          </w:tcPr>
          <w:p w14:paraId="17C0D85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Foreign currency</w:t>
            </w:r>
          </w:p>
        </w:tc>
        <w:tc>
          <w:tcPr>
            <w:tcW w:w="498" w:type="dxa"/>
            <w:tcMar>
              <w:top w:w="0" w:type="dxa"/>
              <w:left w:w="108" w:type="dxa"/>
              <w:bottom w:w="0" w:type="dxa"/>
              <w:right w:w="108" w:type="dxa"/>
            </w:tcMar>
            <w:hideMark/>
          </w:tcPr>
          <w:p w14:paraId="5C37DC37" w14:textId="77777777" w:rsidR="006E5C07" w:rsidRPr="006E5C07" w:rsidRDefault="006E5C07" w:rsidP="006E5C07">
            <w:pPr>
              <w:spacing w:after="0" w:line="240" w:lineRule="auto"/>
              <w:jc w:val="right"/>
              <w:rPr>
                <w:rFonts w:ascii="Calibri" w:eastAsia="Times New Roman" w:hAnsi="Calibri" w:cs="Calibri"/>
              </w:rPr>
            </w:pPr>
          </w:p>
        </w:tc>
        <w:tc>
          <w:tcPr>
            <w:tcW w:w="63" w:type="dxa"/>
            <w:tcMar>
              <w:top w:w="0" w:type="dxa"/>
              <w:left w:w="108" w:type="dxa"/>
              <w:bottom w:w="0" w:type="dxa"/>
              <w:right w:w="108" w:type="dxa"/>
            </w:tcMar>
            <w:hideMark/>
          </w:tcPr>
          <w:p w14:paraId="660811AE" w14:textId="77777777" w:rsidR="006E5C07" w:rsidRPr="006E5C07" w:rsidRDefault="006E5C07" w:rsidP="006E5C07">
            <w:pPr>
              <w:spacing w:after="0" w:line="240" w:lineRule="auto"/>
              <w:jc w:val="right"/>
              <w:rPr>
                <w:rFonts w:ascii="Calibri" w:eastAsia="Times New Roman" w:hAnsi="Calibri" w:cs="Calibri"/>
              </w:rPr>
            </w:pPr>
          </w:p>
        </w:tc>
        <w:tc>
          <w:tcPr>
            <w:tcW w:w="780" w:type="dxa"/>
            <w:tcMar>
              <w:top w:w="0" w:type="dxa"/>
              <w:left w:w="108" w:type="dxa"/>
              <w:bottom w:w="0" w:type="dxa"/>
              <w:right w:w="108" w:type="dxa"/>
            </w:tcMar>
            <w:hideMark/>
          </w:tcPr>
          <w:p w14:paraId="5E9B2909" w14:textId="77777777" w:rsidR="006E5C07" w:rsidRPr="006E5C07" w:rsidRDefault="006E5C07" w:rsidP="006E5C07">
            <w:pPr>
              <w:spacing w:after="0" w:line="240" w:lineRule="auto"/>
              <w:jc w:val="right"/>
              <w:rPr>
                <w:rFonts w:ascii="Calibri" w:eastAsia="Times New Roman" w:hAnsi="Calibri" w:cs="Calibri"/>
              </w:rPr>
            </w:pPr>
          </w:p>
        </w:tc>
        <w:tc>
          <w:tcPr>
            <w:tcW w:w="63" w:type="dxa"/>
            <w:tcMar>
              <w:top w:w="0" w:type="dxa"/>
              <w:left w:w="108" w:type="dxa"/>
              <w:bottom w:w="0" w:type="dxa"/>
              <w:right w:w="108" w:type="dxa"/>
            </w:tcMar>
            <w:hideMark/>
          </w:tcPr>
          <w:p w14:paraId="01821C89" w14:textId="77777777" w:rsidR="006E5C07" w:rsidRPr="006E5C07" w:rsidRDefault="006E5C07" w:rsidP="006E5C07">
            <w:pPr>
              <w:spacing w:after="0" w:line="240" w:lineRule="auto"/>
              <w:jc w:val="right"/>
              <w:rPr>
                <w:rFonts w:ascii="Calibri" w:eastAsia="Times New Roman" w:hAnsi="Calibri" w:cs="Calibri"/>
              </w:rPr>
            </w:pPr>
          </w:p>
        </w:tc>
        <w:tc>
          <w:tcPr>
            <w:tcW w:w="639" w:type="dxa"/>
            <w:tcMar>
              <w:top w:w="0" w:type="dxa"/>
              <w:left w:w="108" w:type="dxa"/>
              <w:bottom w:w="0" w:type="dxa"/>
              <w:right w:w="108" w:type="dxa"/>
            </w:tcMar>
            <w:hideMark/>
          </w:tcPr>
          <w:p w14:paraId="778D5436" w14:textId="77777777" w:rsidR="006E5C07" w:rsidRPr="006E5C07" w:rsidRDefault="006E5C07" w:rsidP="006E5C07">
            <w:pPr>
              <w:spacing w:after="0" w:line="240" w:lineRule="auto"/>
              <w:jc w:val="right"/>
              <w:rPr>
                <w:rFonts w:ascii="Calibri" w:eastAsia="Times New Roman" w:hAnsi="Calibri" w:cs="Calibri"/>
              </w:rPr>
            </w:pPr>
          </w:p>
        </w:tc>
        <w:tc>
          <w:tcPr>
            <w:tcW w:w="68" w:type="dxa"/>
            <w:tcMar>
              <w:top w:w="0" w:type="dxa"/>
              <w:left w:w="108" w:type="dxa"/>
              <w:bottom w:w="0" w:type="dxa"/>
              <w:right w:w="108" w:type="dxa"/>
            </w:tcMar>
            <w:hideMark/>
          </w:tcPr>
          <w:p w14:paraId="03E48E6A" w14:textId="77777777" w:rsidR="006E5C07" w:rsidRPr="006E5C07" w:rsidRDefault="006E5C07" w:rsidP="006E5C07">
            <w:pPr>
              <w:spacing w:after="0" w:line="240" w:lineRule="auto"/>
              <w:jc w:val="right"/>
              <w:rPr>
                <w:rFonts w:ascii="Calibri" w:eastAsia="Times New Roman" w:hAnsi="Calibri" w:cs="Calibri"/>
              </w:rPr>
            </w:pPr>
          </w:p>
        </w:tc>
        <w:tc>
          <w:tcPr>
            <w:tcW w:w="772" w:type="dxa"/>
            <w:tcMar>
              <w:top w:w="0" w:type="dxa"/>
              <w:left w:w="108" w:type="dxa"/>
              <w:bottom w:w="0" w:type="dxa"/>
              <w:right w:w="108" w:type="dxa"/>
            </w:tcMar>
            <w:hideMark/>
          </w:tcPr>
          <w:p w14:paraId="72381BA5" w14:textId="77777777" w:rsidR="006E5C07" w:rsidRPr="006E5C07" w:rsidRDefault="006E5C07" w:rsidP="006E5C07">
            <w:pPr>
              <w:spacing w:after="0" w:line="240" w:lineRule="auto"/>
              <w:jc w:val="right"/>
              <w:rPr>
                <w:rFonts w:ascii="Calibri" w:eastAsia="Times New Roman" w:hAnsi="Calibri" w:cs="Calibri"/>
              </w:rPr>
            </w:pPr>
          </w:p>
        </w:tc>
        <w:tc>
          <w:tcPr>
            <w:tcW w:w="67" w:type="dxa"/>
            <w:tcMar>
              <w:top w:w="0" w:type="dxa"/>
              <w:left w:w="108" w:type="dxa"/>
              <w:bottom w:w="0" w:type="dxa"/>
              <w:right w:w="108" w:type="dxa"/>
            </w:tcMar>
            <w:hideMark/>
          </w:tcPr>
          <w:p w14:paraId="6D899069"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5175F591" w14:textId="77777777" w:rsidR="006E5C07" w:rsidRPr="006E5C07" w:rsidRDefault="006E5C07" w:rsidP="006E5C07">
            <w:pPr>
              <w:spacing w:after="0" w:line="240" w:lineRule="auto"/>
              <w:jc w:val="right"/>
              <w:rPr>
                <w:rFonts w:ascii="Calibri" w:eastAsia="Times New Roman" w:hAnsi="Calibri" w:cs="Calibri"/>
              </w:rPr>
            </w:pPr>
          </w:p>
        </w:tc>
        <w:tc>
          <w:tcPr>
            <w:tcW w:w="20" w:type="dxa"/>
            <w:tcMar>
              <w:top w:w="0" w:type="dxa"/>
              <w:left w:w="108" w:type="dxa"/>
              <w:bottom w:w="0" w:type="dxa"/>
              <w:right w:w="108" w:type="dxa"/>
            </w:tcMar>
            <w:hideMark/>
          </w:tcPr>
          <w:p w14:paraId="355AAB65" w14:textId="77777777" w:rsidR="006E5C07" w:rsidRPr="006E5C07" w:rsidRDefault="006E5C07" w:rsidP="006E5C07">
            <w:pPr>
              <w:spacing w:after="0" w:line="240" w:lineRule="auto"/>
              <w:jc w:val="right"/>
              <w:rPr>
                <w:rFonts w:ascii="Calibri" w:eastAsia="Times New Roman" w:hAnsi="Calibri" w:cs="Calibri"/>
              </w:rPr>
            </w:pPr>
          </w:p>
        </w:tc>
        <w:tc>
          <w:tcPr>
            <w:tcW w:w="824" w:type="dxa"/>
            <w:tcMar>
              <w:top w:w="0" w:type="dxa"/>
              <w:left w:w="108" w:type="dxa"/>
              <w:bottom w:w="0" w:type="dxa"/>
              <w:right w:w="108" w:type="dxa"/>
            </w:tcMar>
            <w:hideMark/>
          </w:tcPr>
          <w:p w14:paraId="726E14DC"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01FE529B" w14:textId="77777777" w:rsidTr="006E5C07">
        <w:tc>
          <w:tcPr>
            <w:tcW w:w="2047" w:type="dxa"/>
            <w:tcMar>
              <w:top w:w="0" w:type="dxa"/>
              <w:left w:w="108" w:type="dxa"/>
              <w:bottom w:w="0" w:type="dxa"/>
              <w:right w:w="108" w:type="dxa"/>
            </w:tcMar>
            <w:hideMark/>
          </w:tcPr>
          <w:p w14:paraId="5498C276"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translation</w:t>
            </w:r>
          </w:p>
        </w:tc>
        <w:tc>
          <w:tcPr>
            <w:tcW w:w="498" w:type="dxa"/>
            <w:tcMar>
              <w:top w:w="0" w:type="dxa"/>
              <w:left w:w="108" w:type="dxa"/>
              <w:bottom w:w="0" w:type="dxa"/>
              <w:right w:w="108" w:type="dxa"/>
            </w:tcMar>
            <w:hideMark/>
          </w:tcPr>
          <w:p w14:paraId="0369031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3" w:type="dxa"/>
            <w:tcMar>
              <w:top w:w="0" w:type="dxa"/>
              <w:left w:w="108" w:type="dxa"/>
              <w:bottom w:w="0" w:type="dxa"/>
              <w:right w:w="108" w:type="dxa"/>
            </w:tcMar>
            <w:hideMark/>
          </w:tcPr>
          <w:p w14:paraId="6EA80AC7" w14:textId="77777777" w:rsidR="006E5C07" w:rsidRPr="006E5C07" w:rsidRDefault="006E5C07" w:rsidP="006E5C07">
            <w:pPr>
              <w:spacing w:after="0" w:line="240" w:lineRule="auto"/>
              <w:jc w:val="right"/>
              <w:rPr>
                <w:rFonts w:ascii="Calibri" w:eastAsia="Times New Roman" w:hAnsi="Calibri" w:cs="Calibri"/>
              </w:rPr>
            </w:pPr>
          </w:p>
        </w:tc>
        <w:tc>
          <w:tcPr>
            <w:tcW w:w="780" w:type="dxa"/>
            <w:tcMar>
              <w:top w:w="0" w:type="dxa"/>
              <w:left w:w="108" w:type="dxa"/>
              <w:bottom w:w="0" w:type="dxa"/>
              <w:right w:w="108" w:type="dxa"/>
            </w:tcMar>
            <w:hideMark/>
          </w:tcPr>
          <w:p w14:paraId="3FB25F7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3" w:type="dxa"/>
            <w:tcMar>
              <w:top w:w="0" w:type="dxa"/>
              <w:left w:w="108" w:type="dxa"/>
              <w:bottom w:w="0" w:type="dxa"/>
              <w:right w:w="108" w:type="dxa"/>
            </w:tcMar>
            <w:hideMark/>
          </w:tcPr>
          <w:p w14:paraId="3904424D" w14:textId="77777777" w:rsidR="006E5C07" w:rsidRPr="006E5C07" w:rsidRDefault="006E5C07" w:rsidP="006E5C07">
            <w:pPr>
              <w:spacing w:after="0" w:line="240" w:lineRule="auto"/>
              <w:jc w:val="right"/>
              <w:rPr>
                <w:rFonts w:ascii="Calibri" w:eastAsia="Times New Roman" w:hAnsi="Calibri" w:cs="Calibri"/>
              </w:rPr>
            </w:pPr>
          </w:p>
        </w:tc>
        <w:tc>
          <w:tcPr>
            <w:tcW w:w="639" w:type="dxa"/>
            <w:tcMar>
              <w:top w:w="0" w:type="dxa"/>
              <w:left w:w="108" w:type="dxa"/>
              <w:bottom w:w="0" w:type="dxa"/>
              <w:right w:w="108" w:type="dxa"/>
            </w:tcMar>
            <w:hideMark/>
          </w:tcPr>
          <w:p w14:paraId="73704C0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8" w:type="dxa"/>
            <w:tcMar>
              <w:top w:w="0" w:type="dxa"/>
              <w:left w:w="108" w:type="dxa"/>
              <w:bottom w:w="0" w:type="dxa"/>
              <w:right w:w="108" w:type="dxa"/>
            </w:tcMar>
            <w:hideMark/>
          </w:tcPr>
          <w:p w14:paraId="362284E3" w14:textId="77777777" w:rsidR="006E5C07" w:rsidRPr="006E5C07" w:rsidRDefault="006E5C07" w:rsidP="006E5C07">
            <w:pPr>
              <w:spacing w:after="0" w:line="240" w:lineRule="auto"/>
              <w:jc w:val="right"/>
              <w:rPr>
                <w:rFonts w:ascii="Calibri" w:eastAsia="Times New Roman" w:hAnsi="Calibri" w:cs="Calibri"/>
              </w:rPr>
            </w:pPr>
          </w:p>
        </w:tc>
        <w:tc>
          <w:tcPr>
            <w:tcW w:w="772" w:type="dxa"/>
            <w:tcMar>
              <w:top w:w="0" w:type="dxa"/>
              <w:left w:w="108" w:type="dxa"/>
              <w:bottom w:w="0" w:type="dxa"/>
              <w:right w:w="108" w:type="dxa"/>
            </w:tcMar>
            <w:hideMark/>
          </w:tcPr>
          <w:p w14:paraId="6550BD2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(21)</w:t>
            </w:r>
          </w:p>
        </w:tc>
        <w:tc>
          <w:tcPr>
            <w:tcW w:w="67" w:type="dxa"/>
            <w:tcMar>
              <w:top w:w="0" w:type="dxa"/>
              <w:left w:w="108" w:type="dxa"/>
              <w:bottom w:w="0" w:type="dxa"/>
              <w:right w:w="108" w:type="dxa"/>
            </w:tcMar>
            <w:hideMark/>
          </w:tcPr>
          <w:p w14:paraId="6576307A"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022E9CF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20" w:type="dxa"/>
            <w:tcMar>
              <w:top w:w="0" w:type="dxa"/>
              <w:left w:w="108" w:type="dxa"/>
              <w:bottom w:w="0" w:type="dxa"/>
              <w:right w:w="108" w:type="dxa"/>
            </w:tcMar>
            <w:hideMark/>
          </w:tcPr>
          <w:p w14:paraId="5147EDF1" w14:textId="77777777" w:rsidR="006E5C07" w:rsidRPr="006E5C07" w:rsidRDefault="006E5C07" w:rsidP="006E5C07">
            <w:pPr>
              <w:spacing w:after="0" w:line="240" w:lineRule="auto"/>
              <w:jc w:val="right"/>
              <w:rPr>
                <w:rFonts w:ascii="Calibri" w:eastAsia="Times New Roman" w:hAnsi="Calibri" w:cs="Calibri"/>
              </w:rPr>
            </w:pPr>
          </w:p>
        </w:tc>
        <w:tc>
          <w:tcPr>
            <w:tcW w:w="824" w:type="dxa"/>
            <w:tcMar>
              <w:top w:w="0" w:type="dxa"/>
              <w:left w:w="108" w:type="dxa"/>
              <w:bottom w:w="0" w:type="dxa"/>
              <w:right w:w="108" w:type="dxa"/>
            </w:tcMar>
            <w:hideMark/>
          </w:tcPr>
          <w:p w14:paraId="4F80245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(21)</w:t>
            </w:r>
          </w:p>
        </w:tc>
      </w:tr>
      <w:tr w:rsidR="006E5C07" w:rsidRPr="006E5C07" w14:paraId="27941CB0" w14:textId="77777777" w:rsidTr="006E5C07">
        <w:tc>
          <w:tcPr>
            <w:tcW w:w="2047" w:type="dxa"/>
            <w:tcMar>
              <w:top w:w="0" w:type="dxa"/>
              <w:left w:w="108" w:type="dxa"/>
              <w:bottom w:w="0" w:type="dxa"/>
              <w:right w:w="108" w:type="dxa"/>
            </w:tcMar>
            <w:hideMark/>
          </w:tcPr>
          <w:p w14:paraId="14B3BE9B"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Profit/(loss) for the period as restated *</w:t>
            </w:r>
          </w:p>
        </w:tc>
        <w:tc>
          <w:tcPr>
            <w:tcW w:w="498" w:type="dxa"/>
            <w:tcBorders>
              <w:top w:val="nil"/>
              <w:left w:val="nil"/>
              <w:bottom w:val="single" w:sz="8" w:space="0" w:color="auto"/>
              <w:right w:val="nil"/>
            </w:tcBorders>
            <w:tcMar>
              <w:top w:w="0" w:type="dxa"/>
              <w:left w:w="108" w:type="dxa"/>
              <w:bottom w:w="0" w:type="dxa"/>
              <w:right w:w="108" w:type="dxa"/>
            </w:tcMar>
            <w:hideMark/>
          </w:tcPr>
          <w:p w14:paraId="4EA3FFE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3" w:type="dxa"/>
            <w:tcMar>
              <w:top w:w="0" w:type="dxa"/>
              <w:left w:w="108" w:type="dxa"/>
              <w:bottom w:w="0" w:type="dxa"/>
              <w:right w:w="108" w:type="dxa"/>
            </w:tcMar>
            <w:hideMark/>
          </w:tcPr>
          <w:p w14:paraId="049DF9BF" w14:textId="77777777" w:rsidR="006E5C07" w:rsidRPr="006E5C07" w:rsidRDefault="006E5C07" w:rsidP="006E5C07">
            <w:pPr>
              <w:spacing w:after="0" w:line="240" w:lineRule="auto"/>
              <w:jc w:val="right"/>
              <w:rPr>
                <w:rFonts w:ascii="Calibri" w:eastAsia="Times New Roman" w:hAnsi="Calibri" w:cs="Calibri"/>
              </w:rPr>
            </w:pPr>
          </w:p>
        </w:tc>
        <w:tc>
          <w:tcPr>
            <w:tcW w:w="780" w:type="dxa"/>
            <w:tcBorders>
              <w:top w:val="nil"/>
              <w:left w:val="nil"/>
              <w:bottom w:val="single" w:sz="8" w:space="0" w:color="auto"/>
              <w:right w:val="nil"/>
            </w:tcBorders>
            <w:tcMar>
              <w:top w:w="0" w:type="dxa"/>
              <w:left w:w="108" w:type="dxa"/>
              <w:bottom w:w="0" w:type="dxa"/>
              <w:right w:w="108" w:type="dxa"/>
            </w:tcMar>
            <w:hideMark/>
          </w:tcPr>
          <w:p w14:paraId="3B82D54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3" w:type="dxa"/>
            <w:tcMar>
              <w:top w:w="0" w:type="dxa"/>
              <w:left w:w="108" w:type="dxa"/>
              <w:bottom w:w="0" w:type="dxa"/>
              <w:right w:w="108" w:type="dxa"/>
            </w:tcMar>
            <w:hideMark/>
          </w:tcPr>
          <w:p w14:paraId="253CC3CF" w14:textId="77777777" w:rsidR="006E5C07" w:rsidRPr="006E5C07" w:rsidRDefault="006E5C07" w:rsidP="006E5C07">
            <w:pPr>
              <w:spacing w:after="0" w:line="240" w:lineRule="auto"/>
              <w:jc w:val="right"/>
              <w:rPr>
                <w:rFonts w:ascii="Calibri" w:eastAsia="Times New Roman" w:hAnsi="Calibri" w:cs="Calibri"/>
              </w:rPr>
            </w:pPr>
          </w:p>
        </w:tc>
        <w:tc>
          <w:tcPr>
            <w:tcW w:w="639" w:type="dxa"/>
            <w:tcBorders>
              <w:top w:val="nil"/>
              <w:left w:val="nil"/>
              <w:bottom w:val="single" w:sz="8" w:space="0" w:color="auto"/>
              <w:right w:val="nil"/>
            </w:tcBorders>
            <w:tcMar>
              <w:top w:w="0" w:type="dxa"/>
              <w:left w:w="108" w:type="dxa"/>
              <w:bottom w:w="0" w:type="dxa"/>
              <w:right w:w="108" w:type="dxa"/>
            </w:tcMar>
            <w:hideMark/>
          </w:tcPr>
          <w:p w14:paraId="2730ACD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8" w:type="dxa"/>
            <w:tcMar>
              <w:top w:w="0" w:type="dxa"/>
              <w:left w:w="108" w:type="dxa"/>
              <w:bottom w:w="0" w:type="dxa"/>
              <w:right w:w="108" w:type="dxa"/>
            </w:tcMar>
            <w:hideMark/>
          </w:tcPr>
          <w:p w14:paraId="1162DF37" w14:textId="77777777" w:rsidR="006E5C07" w:rsidRPr="006E5C07" w:rsidRDefault="006E5C07" w:rsidP="006E5C07">
            <w:pPr>
              <w:spacing w:after="0" w:line="240" w:lineRule="auto"/>
              <w:jc w:val="right"/>
              <w:rPr>
                <w:rFonts w:ascii="Calibri" w:eastAsia="Times New Roman" w:hAnsi="Calibri" w:cs="Calibri"/>
              </w:rPr>
            </w:pPr>
          </w:p>
        </w:tc>
        <w:tc>
          <w:tcPr>
            <w:tcW w:w="772" w:type="dxa"/>
            <w:tcBorders>
              <w:top w:val="nil"/>
              <w:left w:val="nil"/>
              <w:bottom w:val="single" w:sz="8" w:space="0" w:color="auto"/>
              <w:right w:val="nil"/>
            </w:tcBorders>
            <w:tcMar>
              <w:top w:w="0" w:type="dxa"/>
              <w:left w:w="108" w:type="dxa"/>
              <w:bottom w:w="0" w:type="dxa"/>
              <w:right w:w="108" w:type="dxa"/>
            </w:tcMar>
            <w:hideMark/>
          </w:tcPr>
          <w:p w14:paraId="1919FC2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60</w:t>
            </w:r>
          </w:p>
        </w:tc>
        <w:tc>
          <w:tcPr>
            <w:tcW w:w="67" w:type="dxa"/>
            <w:tcMar>
              <w:top w:w="0" w:type="dxa"/>
              <w:left w:w="108" w:type="dxa"/>
              <w:bottom w:w="0" w:type="dxa"/>
              <w:right w:w="108" w:type="dxa"/>
            </w:tcMar>
            <w:hideMark/>
          </w:tcPr>
          <w:p w14:paraId="14EC10DC" w14:textId="77777777" w:rsidR="006E5C07" w:rsidRPr="006E5C07" w:rsidRDefault="006E5C07" w:rsidP="006E5C07">
            <w:pPr>
              <w:spacing w:after="0" w:line="240" w:lineRule="auto"/>
              <w:jc w:val="right"/>
              <w:rPr>
                <w:rFonts w:ascii="Calibri" w:eastAsia="Times New Roman" w:hAnsi="Calibri" w:cs="Calibri"/>
              </w:rPr>
            </w:pPr>
          </w:p>
        </w:tc>
        <w:tc>
          <w:tcPr>
            <w:tcW w:w="918" w:type="dxa"/>
            <w:tcBorders>
              <w:top w:val="nil"/>
              <w:left w:val="nil"/>
              <w:bottom w:val="single" w:sz="8" w:space="0" w:color="auto"/>
              <w:right w:val="nil"/>
            </w:tcBorders>
            <w:tcMar>
              <w:top w:w="0" w:type="dxa"/>
              <w:left w:w="108" w:type="dxa"/>
              <w:bottom w:w="0" w:type="dxa"/>
              <w:right w:w="108" w:type="dxa"/>
            </w:tcMar>
            <w:hideMark/>
          </w:tcPr>
          <w:p w14:paraId="3F4F787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(18)</w:t>
            </w:r>
          </w:p>
        </w:tc>
        <w:tc>
          <w:tcPr>
            <w:tcW w:w="20" w:type="dxa"/>
            <w:tcMar>
              <w:top w:w="0" w:type="dxa"/>
              <w:left w:w="108" w:type="dxa"/>
              <w:bottom w:w="0" w:type="dxa"/>
              <w:right w:w="108" w:type="dxa"/>
            </w:tcMar>
            <w:hideMark/>
          </w:tcPr>
          <w:p w14:paraId="66CDAEC5" w14:textId="77777777" w:rsidR="006E5C07" w:rsidRPr="006E5C07" w:rsidRDefault="006E5C07" w:rsidP="006E5C07">
            <w:pPr>
              <w:spacing w:after="0" w:line="240" w:lineRule="auto"/>
              <w:jc w:val="right"/>
              <w:rPr>
                <w:rFonts w:ascii="Calibri" w:eastAsia="Times New Roman" w:hAnsi="Calibri" w:cs="Calibri"/>
              </w:rPr>
            </w:pPr>
          </w:p>
        </w:tc>
        <w:tc>
          <w:tcPr>
            <w:tcW w:w="824" w:type="dxa"/>
            <w:tcBorders>
              <w:top w:val="nil"/>
              <w:left w:val="nil"/>
              <w:bottom w:val="single" w:sz="8" w:space="0" w:color="auto"/>
              <w:right w:val="nil"/>
            </w:tcBorders>
            <w:tcMar>
              <w:top w:w="0" w:type="dxa"/>
              <w:left w:w="108" w:type="dxa"/>
              <w:bottom w:w="0" w:type="dxa"/>
              <w:right w:w="108" w:type="dxa"/>
            </w:tcMar>
            <w:hideMark/>
          </w:tcPr>
          <w:p w14:paraId="7BB69C3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42</w:t>
            </w:r>
          </w:p>
        </w:tc>
      </w:tr>
      <w:tr w:rsidR="006E5C07" w:rsidRPr="006E5C07" w14:paraId="5C67582F" w14:textId="77777777" w:rsidTr="006E5C07">
        <w:tc>
          <w:tcPr>
            <w:tcW w:w="2047" w:type="dxa"/>
            <w:tcMar>
              <w:top w:w="0" w:type="dxa"/>
              <w:left w:w="108" w:type="dxa"/>
              <w:bottom w:w="0" w:type="dxa"/>
              <w:right w:w="108" w:type="dxa"/>
            </w:tcMar>
            <w:hideMark/>
          </w:tcPr>
          <w:p w14:paraId="781D47A7"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Total comprehensive</w:t>
            </w:r>
          </w:p>
        </w:tc>
        <w:tc>
          <w:tcPr>
            <w:tcW w:w="498" w:type="dxa"/>
            <w:tcBorders>
              <w:top w:val="nil"/>
              <w:left w:val="nil"/>
              <w:bottom w:val="nil"/>
              <w:right w:val="nil"/>
            </w:tcBorders>
            <w:tcMar>
              <w:top w:w="0" w:type="dxa"/>
              <w:left w:w="108" w:type="dxa"/>
              <w:bottom w:w="0" w:type="dxa"/>
              <w:right w:w="108" w:type="dxa"/>
            </w:tcMar>
            <w:hideMark/>
          </w:tcPr>
          <w:p w14:paraId="1652C8F5"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63" w:type="dxa"/>
            <w:tcMar>
              <w:top w:w="0" w:type="dxa"/>
              <w:left w:w="108" w:type="dxa"/>
              <w:bottom w:w="0" w:type="dxa"/>
              <w:right w:w="108" w:type="dxa"/>
            </w:tcMar>
            <w:hideMark/>
          </w:tcPr>
          <w:p w14:paraId="00F41914" w14:textId="77777777" w:rsidR="006E5C07" w:rsidRPr="006E5C07" w:rsidRDefault="006E5C07" w:rsidP="006E5C07">
            <w:pPr>
              <w:spacing w:after="0" w:line="240" w:lineRule="auto"/>
              <w:jc w:val="right"/>
              <w:rPr>
                <w:rFonts w:ascii="Calibri" w:eastAsia="Times New Roman" w:hAnsi="Calibri" w:cs="Calibri"/>
              </w:rPr>
            </w:pPr>
          </w:p>
        </w:tc>
        <w:tc>
          <w:tcPr>
            <w:tcW w:w="780" w:type="dxa"/>
            <w:tcBorders>
              <w:top w:val="nil"/>
              <w:left w:val="nil"/>
              <w:bottom w:val="nil"/>
              <w:right w:val="nil"/>
            </w:tcBorders>
            <w:tcMar>
              <w:top w:w="0" w:type="dxa"/>
              <w:left w:w="108" w:type="dxa"/>
              <w:bottom w:w="0" w:type="dxa"/>
              <w:right w:w="108" w:type="dxa"/>
            </w:tcMar>
            <w:hideMark/>
          </w:tcPr>
          <w:p w14:paraId="2F72BEFA"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63" w:type="dxa"/>
            <w:tcMar>
              <w:top w:w="0" w:type="dxa"/>
              <w:left w:w="108" w:type="dxa"/>
              <w:bottom w:w="0" w:type="dxa"/>
              <w:right w:w="108" w:type="dxa"/>
            </w:tcMar>
            <w:hideMark/>
          </w:tcPr>
          <w:p w14:paraId="601544D3" w14:textId="77777777" w:rsidR="006E5C07" w:rsidRPr="006E5C07" w:rsidRDefault="006E5C07" w:rsidP="006E5C07">
            <w:pPr>
              <w:spacing w:after="0" w:line="240" w:lineRule="auto"/>
              <w:jc w:val="right"/>
              <w:rPr>
                <w:rFonts w:ascii="Calibri" w:eastAsia="Times New Roman" w:hAnsi="Calibri" w:cs="Calibri"/>
              </w:rPr>
            </w:pPr>
          </w:p>
        </w:tc>
        <w:tc>
          <w:tcPr>
            <w:tcW w:w="639" w:type="dxa"/>
            <w:tcBorders>
              <w:top w:val="nil"/>
              <w:left w:val="nil"/>
              <w:bottom w:val="nil"/>
              <w:right w:val="nil"/>
            </w:tcBorders>
            <w:tcMar>
              <w:top w:w="0" w:type="dxa"/>
              <w:left w:w="108" w:type="dxa"/>
              <w:bottom w:w="0" w:type="dxa"/>
              <w:right w:w="108" w:type="dxa"/>
            </w:tcMar>
            <w:hideMark/>
          </w:tcPr>
          <w:p w14:paraId="2AFE4D59"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68" w:type="dxa"/>
            <w:tcMar>
              <w:top w:w="0" w:type="dxa"/>
              <w:left w:w="108" w:type="dxa"/>
              <w:bottom w:w="0" w:type="dxa"/>
              <w:right w:w="108" w:type="dxa"/>
            </w:tcMar>
            <w:hideMark/>
          </w:tcPr>
          <w:p w14:paraId="78EA26B2" w14:textId="77777777" w:rsidR="006E5C07" w:rsidRPr="006E5C07" w:rsidRDefault="006E5C07" w:rsidP="006E5C07">
            <w:pPr>
              <w:spacing w:after="0" w:line="240" w:lineRule="auto"/>
              <w:jc w:val="right"/>
              <w:rPr>
                <w:rFonts w:ascii="Calibri" w:eastAsia="Times New Roman" w:hAnsi="Calibri" w:cs="Calibri"/>
              </w:rPr>
            </w:pPr>
          </w:p>
        </w:tc>
        <w:tc>
          <w:tcPr>
            <w:tcW w:w="772" w:type="dxa"/>
            <w:tcBorders>
              <w:top w:val="nil"/>
              <w:left w:val="nil"/>
              <w:bottom w:val="nil"/>
              <w:right w:val="nil"/>
            </w:tcBorders>
            <w:tcMar>
              <w:top w:w="0" w:type="dxa"/>
              <w:left w:w="108" w:type="dxa"/>
              <w:bottom w:w="0" w:type="dxa"/>
              <w:right w:w="108" w:type="dxa"/>
            </w:tcMar>
            <w:hideMark/>
          </w:tcPr>
          <w:p w14:paraId="49DB72EC"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39</w:t>
            </w:r>
          </w:p>
        </w:tc>
        <w:tc>
          <w:tcPr>
            <w:tcW w:w="67" w:type="dxa"/>
            <w:tcMar>
              <w:top w:w="0" w:type="dxa"/>
              <w:left w:w="108" w:type="dxa"/>
              <w:bottom w:w="0" w:type="dxa"/>
              <w:right w:w="108" w:type="dxa"/>
            </w:tcMar>
            <w:hideMark/>
          </w:tcPr>
          <w:p w14:paraId="02D4B61C" w14:textId="77777777" w:rsidR="006E5C07" w:rsidRPr="006E5C07" w:rsidRDefault="006E5C07" w:rsidP="006E5C07">
            <w:pPr>
              <w:spacing w:after="0" w:line="240" w:lineRule="auto"/>
              <w:jc w:val="right"/>
              <w:rPr>
                <w:rFonts w:ascii="Calibri" w:eastAsia="Times New Roman" w:hAnsi="Calibri" w:cs="Calibri"/>
              </w:rPr>
            </w:pPr>
          </w:p>
        </w:tc>
        <w:tc>
          <w:tcPr>
            <w:tcW w:w="918" w:type="dxa"/>
            <w:tcBorders>
              <w:top w:val="nil"/>
              <w:left w:val="nil"/>
              <w:bottom w:val="nil"/>
              <w:right w:val="nil"/>
            </w:tcBorders>
            <w:tcMar>
              <w:top w:w="0" w:type="dxa"/>
              <w:left w:w="108" w:type="dxa"/>
              <w:bottom w:w="0" w:type="dxa"/>
              <w:right w:w="108" w:type="dxa"/>
            </w:tcMar>
            <w:hideMark/>
          </w:tcPr>
          <w:p w14:paraId="355AF2A4"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(18)</w:t>
            </w:r>
          </w:p>
        </w:tc>
        <w:tc>
          <w:tcPr>
            <w:tcW w:w="20" w:type="dxa"/>
            <w:tcMar>
              <w:top w:w="0" w:type="dxa"/>
              <w:left w:w="108" w:type="dxa"/>
              <w:bottom w:w="0" w:type="dxa"/>
              <w:right w:w="108" w:type="dxa"/>
            </w:tcMar>
            <w:hideMark/>
          </w:tcPr>
          <w:p w14:paraId="7D1B4655" w14:textId="77777777" w:rsidR="006E5C07" w:rsidRPr="006E5C07" w:rsidRDefault="006E5C07" w:rsidP="006E5C07">
            <w:pPr>
              <w:spacing w:after="0" w:line="240" w:lineRule="auto"/>
              <w:jc w:val="right"/>
              <w:rPr>
                <w:rFonts w:ascii="Calibri" w:eastAsia="Times New Roman" w:hAnsi="Calibri" w:cs="Calibri"/>
              </w:rPr>
            </w:pPr>
          </w:p>
        </w:tc>
        <w:tc>
          <w:tcPr>
            <w:tcW w:w="824" w:type="dxa"/>
            <w:tcBorders>
              <w:top w:val="nil"/>
              <w:left w:val="nil"/>
              <w:bottom w:val="nil"/>
              <w:right w:val="nil"/>
            </w:tcBorders>
            <w:tcMar>
              <w:top w:w="0" w:type="dxa"/>
              <w:left w:w="108" w:type="dxa"/>
              <w:bottom w:w="0" w:type="dxa"/>
              <w:right w:w="108" w:type="dxa"/>
            </w:tcMar>
            <w:hideMark/>
          </w:tcPr>
          <w:p w14:paraId="1A662A09"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21</w:t>
            </w:r>
          </w:p>
        </w:tc>
      </w:tr>
      <w:tr w:rsidR="006E5C07" w:rsidRPr="006E5C07" w14:paraId="638D7821" w14:textId="77777777" w:rsidTr="006E5C07">
        <w:tc>
          <w:tcPr>
            <w:tcW w:w="2047" w:type="dxa"/>
            <w:tcMar>
              <w:top w:w="0" w:type="dxa"/>
              <w:left w:w="108" w:type="dxa"/>
              <w:bottom w:w="0" w:type="dxa"/>
              <w:right w:w="108" w:type="dxa"/>
            </w:tcMar>
            <w:hideMark/>
          </w:tcPr>
          <w:p w14:paraId="03AEF6C4"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income</w:t>
            </w:r>
          </w:p>
        </w:tc>
        <w:tc>
          <w:tcPr>
            <w:tcW w:w="498" w:type="dxa"/>
            <w:tcMar>
              <w:top w:w="0" w:type="dxa"/>
              <w:left w:w="108" w:type="dxa"/>
              <w:bottom w:w="0" w:type="dxa"/>
              <w:right w:w="108" w:type="dxa"/>
            </w:tcMar>
            <w:hideMark/>
          </w:tcPr>
          <w:p w14:paraId="6A3D820F" w14:textId="77777777" w:rsidR="006E5C07" w:rsidRPr="006E5C07" w:rsidRDefault="006E5C07" w:rsidP="006E5C07">
            <w:pPr>
              <w:spacing w:after="0" w:line="240" w:lineRule="auto"/>
              <w:jc w:val="right"/>
              <w:rPr>
                <w:rFonts w:ascii="Calibri" w:eastAsia="Times New Roman" w:hAnsi="Calibri" w:cs="Calibri"/>
                <w:b/>
                <w:bCs/>
              </w:rPr>
            </w:pPr>
          </w:p>
        </w:tc>
        <w:tc>
          <w:tcPr>
            <w:tcW w:w="63" w:type="dxa"/>
            <w:tcMar>
              <w:top w:w="0" w:type="dxa"/>
              <w:left w:w="108" w:type="dxa"/>
              <w:bottom w:w="0" w:type="dxa"/>
              <w:right w:w="108" w:type="dxa"/>
            </w:tcMar>
            <w:hideMark/>
          </w:tcPr>
          <w:p w14:paraId="54B376E1" w14:textId="77777777" w:rsidR="006E5C07" w:rsidRPr="006E5C07" w:rsidRDefault="006E5C07" w:rsidP="006E5C07">
            <w:pPr>
              <w:spacing w:after="0" w:line="240" w:lineRule="auto"/>
              <w:jc w:val="right"/>
              <w:rPr>
                <w:rFonts w:ascii="Calibri" w:eastAsia="Times New Roman" w:hAnsi="Calibri" w:cs="Calibri"/>
              </w:rPr>
            </w:pPr>
          </w:p>
        </w:tc>
        <w:tc>
          <w:tcPr>
            <w:tcW w:w="780" w:type="dxa"/>
            <w:tcMar>
              <w:top w:w="0" w:type="dxa"/>
              <w:left w:w="108" w:type="dxa"/>
              <w:bottom w:w="0" w:type="dxa"/>
              <w:right w:w="108" w:type="dxa"/>
            </w:tcMar>
            <w:hideMark/>
          </w:tcPr>
          <w:p w14:paraId="03E47221" w14:textId="77777777" w:rsidR="006E5C07" w:rsidRPr="006E5C07" w:rsidRDefault="006E5C07" w:rsidP="006E5C07">
            <w:pPr>
              <w:spacing w:after="0" w:line="240" w:lineRule="auto"/>
              <w:jc w:val="right"/>
              <w:rPr>
                <w:rFonts w:ascii="Calibri" w:eastAsia="Times New Roman" w:hAnsi="Calibri" w:cs="Calibri"/>
                <w:b/>
                <w:bCs/>
              </w:rPr>
            </w:pPr>
          </w:p>
        </w:tc>
        <w:tc>
          <w:tcPr>
            <w:tcW w:w="63" w:type="dxa"/>
            <w:tcMar>
              <w:top w:w="0" w:type="dxa"/>
              <w:left w:w="108" w:type="dxa"/>
              <w:bottom w:w="0" w:type="dxa"/>
              <w:right w:w="108" w:type="dxa"/>
            </w:tcMar>
            <w:hideMark/>
          </w:tcPr>
          <w:p w14:paraId="6DFB0E0A" w14:textId="77777777" w:rsidR="006E5C07" w:rsidRPr="006E5C07" w:rsidRDefault="006E5C07" w:rsidP="006E5C07">
            <w:pPr>
              <w:spacing w:after="0" w:line="240" w:lineRule="auto"/>
              <w:jc w:val="right"/>
              <w:rPr>
                <w:rFonts w:ascii="Calibri" w:eastAsia="Times New Roman" w:hAnsi="Calibri" w:cs="Calibri"/>
              </w:rPr>
            </w:pPr>
          </w:p>
        </w:tc>
        <w:tc>
          <w:tcPr>
            <w:tcW w:w="639" w:type="dxa"/>
            <w:tcMar>
              <w:top w:w="0" w:type="dxa"/>
              <w:left w:w="108" w:type="dxa"/>
              <w:bottom w:w="0" w:type="dxa"/>
              <w:right w:w="108" w:type="dxa"/>
            </w:tcMar>
            <w:hideMark/>
          </w:tcPr>
          <w:p w14:paraId="53567C5C" w14:textId="77777777" w:rsidR="006E5C07" w:rsidRPr="006E5C07" w:rsidRDefault="006E5C07" w:rsidP="006E5C07">
            <w:pPr>
              <w:spacing w:after="0" w:line="240" w:lineRule="auto"/>
              <w:jc w:val="right"/>
              <w:rPr>
                <w:rFonts w:ascii="Calibri" w:eastAsia="Times New Roman" w:hAnsi="Calibri" w:cs="Calibri"/>
                <w:b/>
                <w:bCs/>
              </w:rPr>
            </w:pPr>
          </w:p>
        </w:tc>
        <w:tc>
          <w:tcPr>
            <w:tcW w:w="68" w:type="dxa"/>
            <w:tcMar>
              <w:top w:w="0" w:type="dxa"/>
              <w:left w:w="108" w:type="dxa"/>
              <w:bottom w:w="0" w:type="dxa"/>
              <w:right w:w="108" w:type="dxa"/>
            </w:tcMar>
            <w:hideMark/>
          </w:tcPr>
          <w:p w14:paraId="37EDB076" w14:textId="77777777" w:rsidR="006E5C07" w:rsidRPr="006E5C07" w:rsidRDefault="006E5C07" w:rsidP="006E5C07">
            <w:pPr>
              <w:spacing w:after="0" w:line="240" w:lineRule="auto"/>
              <w:jc w:val="right"/>
              <w:rPr>
                <w:rFonts w:ascii="Calibri" w:eastAsia="Times New Roman" w:hAnsi="Calibri" w:cs="Calibri"/>
              </w:rPr>
            </w:pPr>
          </w:p>
        </w:tc>
        <w:tc>
          <w:tcPr>
            <w:tcW w:w="772" w:type="dxa"/>
            <w:tcMar>
              <w:top w:w="0" w:type="dxa"/>
              <w:left w:w="108" w:type="dxa"/>
              <w:bottom w:w="0" w:type="dxa"/>
              <w:right w:w="108" w:type="dxa"/>
            </w:tcMar>
            <w:hideMark/>
          </w:tcPr>
          <w:p w14:paraId="34976CF2" w14:textId="77777777" w:rsidR="006E5C07" w:rsidRPr="006E5C07" w:rsidRDefault="006E5C07" w:rsidP="006E5C07">
            <w:pPr>
              <w:spacing w:after="0" w:line="240" w:lineRule="auto"/>
              <w:jc w:val="right"/>
              <w:rPr>
                <w:rFonts w:ascii="Calibri" w:eastAsia="Times New Roman" w:hAnsi="Calibri" w:cs="Calibri"/>
                <w:b/>
                <w:bCs/>
              </w:rPr>
            </w:pPr>
          </w:p>
        </w:tc>
        <w:tc>
          <w:tcPr>
            <w:tcW w:w="67" w:type="dxa"/>
            <w:tcMar>
              <w:top w:w="0" w:type="dxa"/>
              <w:left w:w="108" w:type="dxa"/>
              <w:bottom w:w="0" w:type="dxa"/>
              <w:right w:w="108" w:type="dxa"/>
            </w:tcMar>
            <w:hideMark/>
          </w:tcPr>
          <w:p w14:paraId="303B3DBB"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6BBC0327" w14:textId="77777777" w:rsidR="006E5C07" w:rsidRPr="006E5C07" w:rsidRDefault="006E5C07" w:rsidP="006E5C07">
            <w:pPr>
              <w:spacing w:after="0" w:line="240" w:lineRule="auto"/>
              <w:jc w:val="right"/>
              <w:rPr>
                <w:rFonts w:ascii="Calibri" w:eastAsia="Times New Roman" w:hAnsi="Calibri" w:cs="Calibri"/>
              </w:rPr>
            </w:pPr>
          </w:p>
        </w:tc>
        <w:tc>
          <w:tcPr>
            <w:tcW w:w="20" w:type="dxa"/>
            <w:tcMar>
              <w:top w:w="0" w:type="dxa"/>
              <w:left w:w="108" w:type="dxa"/>
              <w:bottom w:w="0" w:type="dxa"/>
              <w:right w:w="108" w:type="dxa"/>
            </w:tcMar>
            <w:hideMark/>
          </w:tcPr>
          <w:p w14:paraId="26D1CF4E" w14:textId="77777777" w:rsidR="006E5C07" w:rsidRPr="006E5C07" w:rsidRDefault="006E5C07" w:rsidP="006E5C07">
            <w:pPr>
              <w:spacing w:after="0" w:line="240" w:lineRule="auto"/>
              <w:jc w:val="right"/>
              <w:rPr>
                <w:rFonts w:ascii="Calibri" w:eastAsia="Times New Roman" w:hAnsi="Calibri" w:cs="Calibri"/>
              </w:rPr>
            </w:pPr>
          </w:p>
        </w:tc>
        <w:tc>
          <w:tcPr>
            <w:tcW w:w="824" w:type="dxa"/>
            <w:tcMar>
              <w:top w:w="0" w:type="dxa"/>
              <w:left w:w="108" w:type="dxa"/>
              <w:bottom w:w="0" w:type="dxa"/>
              <w:right w:w="108" w:type="dxa"/>
            </w:tcMar>
            <w:hideMark/>
          </w:tcPr>
          <w:p w14:paraId="5A0A989C"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307118E2" w14:textId="77777777" w:rsidTr="006E5C07">
        <w:tc>
          <w:tcPr>
            <w:tcW w:w="2047" w:type="dxa"/>
            <w:tcMar>
              <w:top w:w="0" w:type="dxa"/>
              <w:left w:w="108" w:type="dxa"/>
              <w:bottom w:w="0" w:type="dxa"/>
              <w:right w:w="108" w:type="dxa"/>
            </w:tcMar>
            <w:hideMark/>
          </w:tcPr>
          <w:p w14:paraId="45467390" w14:textId="77777777" w:rsidR="006E5C07" w:rsidRPr="006E5C07" w:rsidRDefault="006E5C07" w:rsidP="006E5C07">
            <w:pPr>
              <w:spacing w:after="0" w:line="240" w:lineRule="auto"/>
              <w:rPr>
                <w:rFonts w:ascii="Calibri" w:eastAsia="Times New Roman" w:hAnsi="Calibri" w:cs="Calibri"/>
              </w:rPr>
            </w:pPr>
          </w:p>
        </w:tc>
        <w:tc>
          <w:tcPr>
            <w:tcW w:w="498" w:type="dxa"/>
            <w:tcMar>
              <w:top w:w="0" w:type="dxa"/>
              <w:left w:w="108" w:type="dxa"/>
              <w:bottom w:w="0" w:type="dxa"/>
              <w:right w:w="108" w:type="dxa"/>
            </w:tcMar>
            <w:hideMark/>
          </w:tcPr>
          <w:p w14:paraId="3ACC3288" w14:textId="77777777" w:rsidR="006E5C07" w:rsidRPr="006E5C07" w:rsidRDefault="006E5C07" w:rsidP="006E5C07">
            <w:pPr>
              <w:spacing w:after="0" w:line="240" w:lineRule="auto"/>
              <w:jc w:val="right"/>
              <w:rPr>
                <w:rFonts w:ascii="Calibri" w:eastAsia="Times New Roman" w:hAnsi="Calibri" w:cs="Calibri"/>
              </w:rPr>
            </w:pPr>
          </w:p>
        </w:tc>
        <w:tc>
          <w:tcPr>
            <w:tcW w:w="63" w:type="dxa"/>
            <w:tcMar>
              <w:top w:w="0" w:type="dxa"/>
              <w:left w:w="108" w:type="dxa"/>
              <w:bottom w:w="0" w:type="dxa"/>
              <w:right w:w="108" w:type="dxa"/>
            </w:tcMar>
            <w:hideMark/>
          </w:tcPr>
          <w:p w14:paraId="46BB4F5E" w14:textId="77777777" w:rsidR="006E5C07" w:rsidRPr="006E5C07" w:rsidRDefault="006E5C07" w:rsidP="006E5C07">
            <w:pPr>
              <w:spacing w:after="0" w:line="240" w:lineRule="auto"/>
              <w:jc w:val="right"/>
              <w:rPr>
                <w:rFonts w:ascii="Calibri" w:eastAsia="Times New Roman" w:hAnsi="Calibri" w:cs="Calibri"/>
              </w:rPr>
            </w:pPr>
          </w:p>
        </w:tc>
        <w:tc>
          <w:tcPr>
            <w:tcW w:w="780" w:type="dxa"/>
            <w:tcMar>
              <w:top w:w="0" w:type="dxa"/>
              <w:left w:w="108" w:type="dxa"/>
              <w:bottom w:w="0" w:type="dxa"/>
              <w:right w:w="108" w:type="dxa"/>
            </w:tcMar>
            <w:hideMark/>
          </w:tcPr>
          <w:p w14:paraId="1AE09953" w14:textId="77777777" w:rsidR="006E5C07" w:rsidRPr="006E5C07" w:rsidRDefault="006E5C07" w:rsidP="006E5C07">
            <w:pPr>
              <w:spacing w:after="0" w:line="240" w:lineRule="auto"/>
              <w:jc w:val="right"/>
              <w:rPr>
                <w:rFonts w:ascii="Calibri" w:eastAsia="Times New Roman" w:hAnsi="Calibri" w:cs="Calibri"/>
              </w:rPr>
            </w:pPr>
          </w:p>
        </w:tc>
        <w:tc>
          <w:tcPr>
            <w:tcW w:w="63" w:type="dxa"/>
            <w:tcMar>
              <w:top w:w="0" w:type="dxa"/>
              <w:left w:w="108" w:type="dxa"/>
              <w:bottom w:w="0" w:type="dxa"/>
              <w:right w:w="108" w:type="dxa"/>
            </w:tcMar>
            <w:hideMark/>
          </w:tcPr>
          <w:p w14:paraId="3566C644" w14:textId="77777777" w:rsidR="006E5C07" w:rsidRPr="006E5C07" w:rsidRDefault="006E5C07" w:rsidP="006E5C07">
            <w:pPr>
              <w:spacing w:after="0" w:line="240" w:lineRule="auto"/>
              <w:jc w:val="right"/>
              <w:rPr>
                <w:rFonts w:ascii="Calibri" w:eastAsia="Times New Roman" w:hAnsi="Calibri" w:cs="Calibri"/>
              </w:rPr>
            </w:pPr>
          </w:p>
        </w:tc>
        <w:tc>
          <w:tcPr>
            <w:tcW w:w="639" w:type="dxa"/>
            <w:tcMar>
              <w:top w:w="0" w:type="dxa"/>
              <w:left w:w="108" w:type="dxa"/>
              <w:bottom w:w="0" w:type="dxa"/>
              <w:right w:w="108" w:type="dxa"/>
            </w:tcMar>
            <w:hideMark/>
          </w:tcPr>
          <w:p w14:paraId="42D0F29F" w14:textId="77777777" w:rsidR="006E5C07" w:rsidRPr="006E5C07" w:rsidRDefault="006E5C07" w:rsidP="006E5C07">
            <w:pPr>
              <w:spacing w:after="0" w:line="240" w:lineRule="auto"/>
              <w:jc w:val="right"/>
              <w:rPr>
                <w:rFonts w:ascii="Calibri" w:eastAsia="Times New Roman" w:hAnsi="Calibri" w:cs="Calibri"/>
              </w:rPr>
            </w:pPr>
          </w:p>
        </w:tc>
        <w:tc>
          <w:tcPr>
            <w:tcW w:w="68" w:type="dxa"/>
            <w:tcMar>
              <w:top w:w="0" w:type="dxa"/>
              <w:left w:w="108" w:type="dxa"/>
              <w:bottom w:w="0" w:type="dxa"/>
              <w:right w:w="108" w:type="dxa"/>
            </w:tcMar>
            <w:hideMark/>
          </w:tcPr>
          <w:p w14:paraId="64F8A862" w14:textId="77777777" w:rsidR="006E5C07" w:rsidRPr="006E5C07" w:rsidRDefault="006E5C07" w:rsidP="006E5C07">
            <w:pPr>
              <w:spacing w:after="0" w:line="240" w:lineRule="auto"/>
              <w:jc w:val="right"/>
              <w:rPr>
                <w:rFonts w:ascii="Calibri" w:eastAsia="Times New Roman" w:hAnsi="Calibri" w:cs="Calibri"/>
              </w:rPr>
            </w:pPr>
          </w:p>
        </w:tc>
        <w:tc>
          <w:tcPr>
            <w:tcW w:w="772" w:type="dxa"/>
            <w:tcMar>
              <w:top w:w="0" w:type="dxa"/>
              <w:left w:w="108" w:type="dxa"/>
              <w:bottom w:w="0" w:type="dxa"/>
              <w:right w:w="108" w:type="dxa"/>
            </w:tcMar>
            <w:hideMark/>
          </w:tcPr>
          <w:p w14:paraId="3260A3A6" w14:textId="77777777" w:rsidR="006E5C07" w:rsidRPr="006E5C07" w:rsidRDefault="006E5C07" w:rsidP="006E5C07">
            <w:pPr>
              <w:spacing w:after="0" w:line="240" w:lineRule="auto"/>
              <w:jc w:val="right"/>
              <w:rPr>
                <w:rFonts w:ascii="Calibri" w:eastAsia="Times New Roman" w:hAnsi="Calibri" w:cs="Calibri"/>
              </w:rPr>
            </w:pPr>
          </w:p>
        </w:tc>
        <w:tc>
          <w:tcPr>
            <w:tcW w:w="67" w:type="dxa"/>
            <w:tcMar>
              <w:top w:w="0" w:type="dxa"/>
              <w:left w:w="108" w:type="dxa"/>
              <w:bottom w:w="0" w:type="dxa"/>
              <w:right w:w="108" w:type="dxa"/>
            </w:tcMar>
            <w:hideMark/>
          </w:tcPr>
          <w:p w14:paraId="4072EE4C"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142CAF08" w14:textId="77777777" w:rsidR="006E5C07" w:rsidRPr="006E5C07" w:rsidRDefault="006E5C07" w:rsidP="006E5C07">
            <w:pPr>
              <w:spacing w:after="0" w:line="240" w:lineRule="auto"/>
              <w:jc w:val="right"/>
              <w:rPr>
                <w:rFonts w:ascii="Calibri" w:eastAsia="Times New Roman" w:hAnsi="Calibri" w:cs="Calibri"/>
              </w:rPr>
            </w:pPr>
          </w:p>
        </w:tc>
        <w:tc>
          <w:tcPr>
            <w:tcW w:w="20" w:type="dxa"/>
            <w:tcMar>
              <w:top w:w="0" w:type="dxa"/>
              <w:left w:w="108" w:type="dxa"/>
              <w:bottom w:w="0" w:type="dxa"/>
              <w:right w:w="108" w:type="dxa"/>
            </w:tcMar>
            <w:hideMark/>
          </w:tcPr>
          <w:p w14:paraId="11437C15" w14:textId="77777777" w:rsidR="006E5C07" w:rsidRPr="006E5C07" w:rsidRDefault="006E5C07" w:rsidP="006E5C07">
            <w:pPr>
              <w:spacing w:after="0" w:line="240" w:lineRule="auto"/>
              <w:jc w:val="right"/>
              <w:rPr>
                <w:rFonts w:ascii="Calibri" w:eastAsia="Times New Roman" w:hAnsi="Calibri" w:cs="Calibri"/>
              </w:rPr>
            </w:pPr>
          </w:p>
        </w:tc>
        <w:tc>
          <w:tcPr>
            <w:tcW w:w="824" w:type="dxa"/>
            <w:tcMar>
              <w:top w:w="0" w:type="dxa"/>
              <w:left w:w="108" w:type="dxa"/>
              <w:bottom w:w="0" w:type="dxa"/>
              <w:right w:w="108" w:type="dxa"/>
            </w:tcMar>
            <w:hideMark/>
          </w:tcPr>
          <w:p w14:paraId="64FBF19E"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7B9803A6" w14:textId="77777777" w:rsidTr="006E5C07">
        <w:tc>
          <w:tcPr>
            <w:tcW w:w="2047" w:type="dxa"/>
            <w:tcMar>
              <w:top w:w="0" w:type="dxa"/>
              <w:left w:w="108" w:type="dxa"/>
              <w:bottom w:w="0" w:type="dxa"/>
              <w:right w:w="108" w:type="dxa"/>
            </w:tcMar>
            <w:hideMark/>
          </w:tcPr>
          <w:p w14:paraId="7DD471CF"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Transactions with</w:t>
            </w:r>
          </w:p>
        </w:tc>
        <w:tc>
          <w:tcPr>
            <w:tcW w:w="498" w:type="dxa"/>
            <w:tcMar>
              <w:top w:w="0" w:type="dxa"/>
              <w:left w:w="108" w:type="dxa"/>
              <w:bottom w:w="0" w:type="dxa"/>
              <w:right w:w="108" w:type="dxa"/>
            </w:tcMar>
            <w:hideMark/>
          </w:tcPr>
          <w:p w14:paraId="5A1F1EFD" w14:textId="77777777" w:rsidR="006E5C07" w:rsidRPr="006E5C07" w:rsidRDefault="006E5C07" w:rsidP="006E5C07">
            <w:pPr>
              <w:spacing w:after="0" w:line="240" w:lineRule="auto"/>
              <w:jc w:val="right"/>
              <w:rPr>
                <w:rFonts w:ascii="Calibri" w:eastAsia="Times New Roman" w:hAnsi="Calibri" w:cs="Calibri"/>
              </w:rPr>
            </w:pPr>
          </w:p>
        </w:tc>
        <w:tc>
          <w:tcPr>
            <w:tcW w:w="63" w:type="dxa"/>
            <w:tcMar>
              <w:top w:w="0" w:type="dxa"/>
              <w:left w:w="108" w:type="dxa"/>
              <w:bottom w:w="0" w:type="dxa"/>
              <w:right w:w="108" w:type="dxa"/>
            </w:tcMar>
            <w:hideMark/>
          </w:tcPr>
          <w:p w14:paraId="76F4B56F" w14:textId="77777777" w:rsidR="006E5C07" w:rsidRPr="006E5C07" w:rsidRDefault="006E5C07" w:rsidP="006E5C07">
            <w:pPr>
              <w:spacing w:after="0" w:line="240" w:lineRule="auto"/>
              <w:jc w:val="right"/>
              <w:rPr>
                <w:rFonts w:ascii="Calibri" w:eastAsia="Times New Roman" w:hAnsi="Calibri" w:cs="Calibri"/>
              </w:rPr>
            </w:pPr>
          </w:p>
        </w:tc>
        <w:tc>
          <w:tcPr>
            <w:tcW w:w="780" w:type="dxa"/>
            <w:tcMar>
              <w:top w:w="0" w:type="dxa"/>
              <w:left w:w="108" w:type="dxa"/>
              <w:bottom w:w="0" w:type="dxa"/>
              <w:right w:w="108" w:type="dxa"/>
            </w:tcMar>
            <w:hideMark/>
          </w:tcPr>
          <w:p w14:paraId="24E16840" w14:textId="77777777" w:rsidR="006E5C07" w:rsidRPr="006E5C07" w:rsidRDefault="006E5C07" w:rsidP="006E5C07">
            <w:pPr>
              <w:spacing w:after="0" w:line="240" w:lineRule="auto"/>
              <w:jc w:val="right"/>
              <w:rPr>
                <w:rFonts w:ascii="Calibri" w:eastAsia="Times New Roman" w:hAnsi="Calibri" w:cs="Calibri"/>
              </w:rPr>
            </w:pPr>
          </w:p>
        </w:tc>
        <w:tc>
          <w:tcPr>
            <w:tcW w:w="63" w:type="dxa"/>
            <w:tcMar>
              <w:top w:w="0" w:type="dxa"/>
              <w:left w:w="108" w:type="dxa"/>
              <w:bottom w:w="0" w:type="dxa"/>
              <w:right w:w="108" w:type="dxa"/>
            </w:tcMar>
            <w:hideMark/>
          </w:tcPr>
          <w:p w14:paraId="76691BB7" w14:textId="77777777" w:rsidR="006E5C07" w:rsidRPr="006E5C07" w:rsidRDefault="006E5C07" w:rsidP="006E5C07">
            <w:pPr>
              <w:spacing w:after="0" w:line="240" w:lineRule="auto"/>
              <w:jc w:val="right"/>
              <w:rPr>
                <w:rFonts w:ascii="Calibri" w:eastAsia="Times New Roman" w:hAnsi="Calibri" w:cs="Calibri"/>
              </w:rPr>
            </w:pPr>
          </w:p>
        </w:tc>
        <w:tc>
          <w:tcPr>
            <w:tcW w:w="639" w:type="dxa"/>
            <w:tcMar>
              <w:top w:w="0" w:type="dxa"/>
              <w:left w:w="108" w:type="dxa"/>
              <w:bottom w:w="0" w:type="dxa"/>
              <w:right w:w="108" w:type="dxa"/>
            </w:tcMar>
            <w:hideMark/>
          </w:tcPr>
          <w:p w14:paraId="39592BB9" w14:textId="77777777" w:rsidR="006E5C07" w:rsidRPr="006E5C07" w:rsidRDefault="006E5C07" w:rsidP="006E5C07">
            <w:pPr>
              <w:spacing w:after="0" w:line="240" w:lineRule="auto"/>
              <w:jc w:val="right"/>
              <w:rPr>
                <w:rFonts w:ascii="Calibri" w:eastAsia="Times New Roman" w:hAnsi="Calibri" w:cs="Calibri"/>
              </w:rPr>
            </w:pPr>
          </w:p>
        </w:tc>
        <w:tc>
          <w:tcPr>
            <w:tcW w:w="68" w:type="dxa"/>
            <w:tcMar>
              <w:top w:w="0" w:type="dxa"/>
              <w:left w:w="108" w:type="dxa"/>
              <w:bottom w:w="0" w:type="dxa"/>
              <w:right w:w="108" w:type="dxa"/>
            </w:tcMar>
            <w:hideMark/>
          </w:tcPr>
          <w:p w14:paraId="2CEF35F2" w14:textId="77777777" w:rsidR="006E5C07" w:rsidRPr="006E5C07" w:rsidRDefault="006E5C07" w:rsidP="006E5C07">
            <w:pPr>
              <w:spacing w:after="0" w:line="240" w:lineRule="auto"/>
              <w:jc w:val="right"/>
              <w:rPr>
                <w:rFonts w:ascii="Calibri" w:eastAsia="Times New Roman" w:hAnsi="Calibri" w:cs="Calibri"/>
              </w:rPr>
            </w:pPr>
          </w:p>
        </w:tc>
        <w:tc>
          <w:tcPr>
            <w:tcW w:w="772" w:type="dxa"/>
            <w:tcMar>
              <w:top w:w="0" w:type="dxa"/>
              <w:left w:w="108" w:type="dxa"/>
              <w:bottom w:w="0" w:type="dxa"/>
              <w:right w:w="108" w:type="dxa"/>
            </w:tcMar>
            <w:hideMark/>
          </w:tcPr>
          <w:p w14:paraId="6FF5414E" w14:textId="77777777" w:rsidR="006E5C07" w:rsidRPr="006E5C07" w:rsidRDefault="006E5C07" w:rsidP="006E5C07">
            <w:pPr>
              <w:spacing w:after="0" w:line="240" w:lineRule="auto"/>
              <w:jc w:val="right"/>
              <w:rPr>
                <w:rFonts w:ascii="Calibri" w:eastAsia="Times New Roman" w:hAnsi="Calibri" w:cs="Calibri"/>
              </w:rPr>
            </w:pPr>
          </w:p>
        </w:tc>
        <w:tc>
          <w:tcPr>
            <w:tcW w:w="67" w:type="dxa"/>
            <w:tcMar>
              <w:top w:w="0" w:type="dxa"/>
              <w:left w:w="108" w:type="dxa"/>
              <w:bottom w:w="0" w:type="dxa"/>
              <w:right w:w="108" w:type="dxa"/>
            </w:tcMar>
            <w:hideMark/>
          </w:tcPr>
          <w:p w14:paraId="2ED7369D"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1156E075" w14:textId="77777777" w:rsidR="006E5C07" w:rsidRPr="006E5C07" w:rsidRDefault="006E5C07" w:rsidP="006E5C07">
            <w:pPr>
              <w:spacing w:after="0" w:line="240" w:lineRule="auto"/>
              <w:jc w:val="right"/>
              <w:rPr>
                <w:rFonts w:ascii="Calibri" w:eastAsia="Times New Roman" w:hAnsi="Calibri" w:cs="Calibri"/>
              </w:rPr>
            </w:pPr>
          </w:p>
        </w:tc>
        <w:tc>
          <w:tcPr>
            <w:tcW w:w="20" w:type="dxa"/>
            <w:tcMar>
              <w:top w:w="0" w:type="dxa"/>
              <w:left w:w="108" w:type="dxa"/>
              <w:bottom w:w="0" w:type="dxa"/>
              <w:right w:w="108" w:type="dxa"/>
            </w:tcMar>
            <w:hideMark/>
          </w:tcPr>
          <w:p w14:paraId="4CED9D8D" w14:textId="77777777" w:rsidR="006E5C07" w:rsidRPr="006E5C07" w:rsidRDefault="006E5C07" w:rsidP="006E5C07">
            <w:pPr>
              <w:spacing w:after="0" w:line="240" w:lineRule="auto"/>
              <w:jc w:val="right"/>
              <w:rPr>
                <w:rFonts w:ascii="Calibri" w:eastAsia="Times New Roman" w:hAnsi="Calibri" w:cs="Calibri"/>
              </w:rPr>
            </w:pPr>
          </w:p>
        </w:tc>
        <w:tc>
          <w:tcPr>
            <w:tcW w:w="824" w:type="dxa"/>
            <w:tcMar>
              <w:top w:w="0" w:type="dxa"/>
              <w:left w:w="108" w:type="dxa"/>
              <w:bottom w:w="0" w:type="dxa"/>
              <w:right w:w="108" w:type="dxa"/>
            </w:tcMar>
            <w:hideMark/>
          </w:tcPr>
          <w:p w14:paraId="52C21B24"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2EF1ADE9" w14:textId="77777777" w:rsidTr="006E5C07">
        <w:tc>
          <w:tcPr>
            <w:tcW w:w="2047" w:type="dxa"/>
            <w:tcMar>
              <w:top w:w="0" w:type="dxa"/>
              <w:left w:w="108" w:type="dxa"/>
              <w:bottom w:w="0" w:type="dxa"/>
              <w:right w:w="108" w:type="dxa"/>
            </w:tcMar>
            <w:hideMark/>
          </w:tcPr>
          <w:p w14:paraId="11D0F3C4"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owners:</w:t>
            </w:r>
          </w:p>
        </w:tc>
        <w:tc>
          <w:tcPr>
            <w:tcW w:w="498" w:type="dxa"/>
            <w:tcMar>
              <w:top w:w="0" w:type="dxa"/>
              <w:left w:w="108" w:type="dxa"/>
              <w:bottom w:w="0" w:type="dxa"/>
              <w:right w:w="108" w:type="dxa"/>
            </w:tcMar>
            <w:hideMark/>
          </w:tcPr>
          <w:p w14:paraId="18244E71" w14:textId="77777777" w:rsidR="006E5C07" w:rsidRPr="006E5C07" w:rsidRDefault="006E5C07" w:rsidP="006E5C07">
            <w:pPr>
              <w:spacing w:after="0" w:line="240" w:lineRule="auto"/>
              <w:jc w:val="right"/>
              <w:rPr>
                <w:rFonts w:ascii="Calibri" w:eastAsia="Times New Roman" w:hAnsi="Calibri" w:cs="Calibri"/>
              </w:rPr>
            </w:pPr>
          </w:p>
        </w:tc>
        <w:tc>
          <w:tcPr>
            <w:tcW w:w="63" w:type="dxa"/>
            <w:tcMar>
              <w:top w:w="0" w:type="dxa"/>
              <w:left w:w="108" w:type="dxa"/>
              <w:bottom w:w="0" w:type="dxa"/>
              <w:right w:w="108" w:type="dxa"/>
            </w:tcMar>
            <w:hideMark/>
          </w:tcPr>
          <w:p w14:paraId="43E20D48" w14:textId="77777777" w:rsidR="006E5C07" w:rsidRPr="006E5C07" w:rsidRDefault="006E5C07" w:rsidP="006E5C07">
            <w:pPr>
              <w:spacing w:after="0" w:line="240" w:lineRule="auto"/>
              <w:jc w:val="right"/>
              <w:rPr>
                <w:rFonts w:ascii="Calibri" w:eastAsia="Times New Roman" w:hAnsi="Calibri" w:cs="Calibri"/>
              </w:rPr>
            </w:pPr>
          </w:p>
        </w:tc>
        <w:tc>
          <w:tcPr>
            <w:tcW w:w="780" w:type="dxa"/>
            <w:tcMar>
              <w:top w:w="0" w:type="dxa"/>
              <w:left w:w="108" w:type="dxa"/>
              <w:bottom w:w="0" w:type="dxa"/>
              <w:right w:w="108" w:type="dxa"/>
            </w:tcMar>
            <w:hideMark/>
          </w:tcPr>
          <w:p w14:paraId="522460E4" w14:textId="77777777" w:rsidR="006E5C07" w:rsidRPr="006E5C07" w:rsidRDefault="006E5C07" w:rsidP="006E5C07">
            <w:pPr>
              <w:spacing w:after="0" w:line="240" w:lineRule="auto"/>
              <w:jc w:val="right"/>
              <w:rPr>
                <w:rFonts w:ascii="Calibri" w:eastAsia="Times New Roman" w:hAnsi="Calibri" w:cs="Calibri"/>
              </w:rPr>
            </w:pPr>
          </w:p>
        </w:tc>
        <w:tc>
          <w:tcPr>
            <w:tcW w:w="63" w:type="dxa"/>
            <w:tcMar>
              <w:top w:w="0" w:type="dxa"/>
              <w:left w:w="108" w:type="dxa"/>
              <w:bottom w:w="0" w:type="dxa"/>
              <w:right w:w="108" w:type="dxa"/>
            </w:tcMar>
            <w:hideMark/>
          </w:tcPr>
          <w:p w14:paraId="58A5ED95" w14:textId="77777777" w:rsidR="006E5C07" w:rsidRPr="006E5C07" w:rsidRDefault="006E5C07" w:rsidP="006E5C07">
            <w:pPr>
              <w:spacing w:after="0" w:line="240" w:lineRule="auto"/>
              <w:jc w:val="right"/>
              <w:rPr>
                <w:rFonts w:ascii="Calibri" w:eastAsia="Times New Roman" w:hAnsi="Calibri" w:cs="Calibri"/>
              </w:rPr>
            </w:pPr>
          </w:p>
        </w:tc>
        <w:tc>
          <w:tcPr>
            <w:tcW w:w="639" w:type="dxa"/>
            <w:tcMar>
              <w:top w:w="0" w:type="dxa"/>
              <w:left w:w="108" w:type="dxa"/>
              <w:bottom w:w="0" w:type="dxa"/>
              <w:right w:w="108" w:type="dxa"/>
            </w:tcMar>
            <w:hideMark/>
          </w:tcPr>
          <w:p w14:paraId="70985667" w14:textId="77777777" w:rsidR="006E5C07" w:rsidRPr="006E5C07" w:rsidRDefault="006E5C07" w:rsidP="006E5C07">
            <w:pPr>
              <w:spacing w:after="0" w:line="240" w:lineRule="auto"/>
              <w:jc w:val="right"/>
              <w:rPr>
                <w:rFonts w:ascii="Calibri" w:eastAsia="Times New Roman" w:hAnsi="Calibri" w:cs="Calibri"/>
              </w:rPr>
            </w:pPr>
          </w:p>
        </w:tc>
        <w:tc>
          <w:tcPr>
            <w:tcW w:w="68" w:type="dxa"/>
            <w:tcMar>
              <w:top w:w="0" w:type="dxa"/>
              <w:left w:w="108" w:type="dxa"/>
              <w:bottom w:w="0" w:type="dxa"/>
              <w:right w:w="108" w:type="dxa"/>
            </w:tcMar>
            <w:hideMark/>
          </w:tcPr>
          <w:p w14:paraId="1F378F20" w14:textId="77777777" w:rsidR="006E5C07" w:rsidRPr="006E5C07" w:rsidRDefault="006E5C07" w:rsidP="006E5C07">
            <w:pPr>
              <w:spacing w:after="0" w:line="240" w:lineRule="auto"/>
              <w:jc w:val="right"/>
              <w:rPr>
                <w:rFonts w:ascii="Calibri" w:eastAsia="Times New Roman" w:hAnsi="Calibri" w:cs="Calibri"/>
              </w:rPr>
            </w:pPr>
          </w:p>
        </w:tc>
        <w:tc>
          <w:tcPr>
            <w:tcW w:w="772" w:type="dxa"/>
            <w:tcMar>
              <w:top w:w="0" w:type="dxa"/>
              <w:left w:w="108" w:type="dxa"/>
              <w:bottom w:w="0" w:type="dxa"/>
              <w:right w:w="108" w:type="dxa"/>
            </w:tcMar>
            <w:hideMark/>
          </w:tcPr>
          <w:p w14:paraId="317A9312" w14:textId="77777777" w:rsidR="006E5C07" w:rsidRPr="006E5C07" w:rsidRDefault="006E5C07" w:rsidP="006E5C07">
            <w:pPr>
              <w:spacing w:after="0" w:line="240" w:lineRule="auto"/>
              <w:jc w:val="right"/>
              <w:rPr>
                <w:rFonts w:ascii="Calibri" w:eastAsia="Times New Roman" w:hAnsi="Calibri" w:cs="Calibri"/>
              </w:rPr>
            </w:pPr>
          </w:p>
        </w:tc>
        <w:tc>
          <w:tcPr>
            <w:tcW w:w="67" w:type="dxa"/>
            <w:tcMar>
              <w:top w:w="0" w:type="dxa"/>
              <w:left w:w="108" w:type="dxa"/>
              <w:bottom w:w="0" w:type="dxa"/>
              <w:right w:w="108" w:type="dxa"/>
            </w:tcMar>
            <w:hideMark/>
          </w:tcPr>
          <w:p w14:paraId="4668E837"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41A1552E" w14:textId="77777777" w:rsidR="006E5C07" w:rsidRPr="006E5C07" w:rsidRDefault="006E5C07" w:rsidP="006E5C07">
            <w:pPr>
              <w:spacing w:after="0" w:line="240" w:lineRule="auto"/>
              <w:jc w:val="right"/>
              <w:rPr>
                <w:rFonts w:ascii="Calibri" w:eastAsia="Times New Roman" w:hAnsi="Calibri" w:cs="Calibri"/>
              </w:rPr>
            </w:pPr>
          </w:p>
        </w:tc>
        <w:tc>
          <w:tcPr>
            <w:tcW w:w="20" w:type="dxa"/>
            <w:tcMar>
              <w:top w:w="0" w:type="dxa"/>
              <w:left w:w="108" w:type="dxa"/>
              <w:bottom w:w="0" w:type="dxa"/>
              <w:right w:w="108" w:type="dxa"/>
            </w:tcMar>
            <w:hideMark/>
          </w:tcPr>
          <w:p w14:paraId="654D9F53" w14:textId="77777777" w:rsidR="006E5C07" w:rsidRPr="006E5C07" w:rsidRDefault="006E5C07" w:rsidP="006E5C07">
            <w:pPr>
              <w:spacing w:after="0" w:line="240" w:lineRule="auto"/>
              <w:jc w:val="right"/>
              <w:rPr>
                <w:rFonts w:ascii="Calibri" w:eastAsia="Times New Roman" w:hAnsi="Calibri" w:cs="Calibri"/>
              </w:rPr>
            </w:pPr>
          </w:p>
        </w:tc>
        <w:tc>
          <w:tcPr>
            <w:tcW w:w="824" w:type="dxa"/>
            <w:tcMar>
              <w:top w:w="0" w:type="dxa"/>
              <w:left w:w="108" w:type="dxa"/>
              <w:bottom w:w="0" w:type="dxa"/>
              <w:right w:w="108" w:type="dxa"/>
            </w:tcMar>
            <w:hideMark/>
          </w:tcPr>
          <w:p w14:paraId="6DE61648"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667F6715" w14:textId="77777777" w:rsidTr="006E5C07">
        <w:tc>
          <w:tcPr>
            <w:tcW w:w="2047" w:type="dxa"/>
            <w:tcMar>
              <w:top w:w="0" w:type="dxa"/>
              <w:left w:w="108" w:type="dxa"/>
              <w:bottom w:w="0" w:type="dxa"/>
              <w:right w:w="108" w:type="dxa"/>
            </w:tcMar>
            <w:hideMark/>
          </w:tcPr>
          <w:p w14:paraId="08A990E6"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Dividends paid</w:t>
            </w:r>
          </w:p>
        </w:tc>
        <w:tc>
          <w:tcPr>
            <w:tcW w:w="498" w:type="dxa"/>
            <w:tcBorders>
              <w:top w:val="nil"/>
              <w:left w:val="nil"/>
              <w:bottom w:val="single" w:sz="8" w:space="0" w:color="auto"/>
              <w:right w:val="nil"/>
            </w:tcBorders>
            <w:tcMar>
              <w:top w:w="0" w:type="dxa"/>
              <w:left w:w="108" w:type="dxa"/>
              <w:bottom w:w="0" w:type="dxa"/>
              <w:right w:w="108" w:type="dxa"/>
            </w:tcMar>
            <w:hideMark/>
          </w:tcPr>
          <w:p w14:paraId="6C28857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3" w:type="dxa"/>
            <w:tcMar>
              <w:top w:w="0" w:type="dxa"/>
              <w:left w:w="108" w:type="dxa"/>
              <w:bottom w:w="0" w:type="dxa"/>
              <w:right w:w="108" w:type="dxa"/>
            </w:tcMar>
            <w:hideMark/>
          </w:tcPr>
          <w:p w14:paraId="69944199" w14:textId="77777777" w:rsidR="006E5C07" w:rsidRPr="006E5C07" w:rsidRDefault="006E5C07" w:rsidP="006E5C07">
            <w:pPr>
              <w:spacing w:after="0" w:line="240" w:lineRule="auto"/>
              <w:jc w:val="right"/>
              <w:rPr>
                <w:rFonts w:ascii="Calibri" w:eastAsia="Times New Roman" w:hAnsi="Calibri" w:cs="Calibri"/>
              </w:rPr>
            </w:pPr>
          </w:p>
        </w:tc>
        <w:tc>
          <w:tcPr>
            <w:tcW w:w="780" w:type="dxa"/>
            <w:tcBorders>
              <w:top w:val="nil"/>
              <w:left w:val="nil"/>
              <w:bottom w:val="single" w:sz="8" w:space="0" w:color="auto"/>
              <w:right w:val="nil"/>
            </w:tcBorders>
            <w:tcMar>
              <w:top w:w="0" w:type="dxa"/>
              <w:left w:w="108" w:type="dxa"/>
              <w:bottom w:w="0" w:type="dxa"/>
              <w:right w:w="108" w:type="dxa"/>
            </w:tcMar>
            <w:hideMark/>
          </w:tcPr>
          <w:p w14:paraId="77A58D0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3" w:type="dxa"/>
            <w:tcMar>
              <w:top w:w="0" w:type="dxa"/>
              <w:left w:w="108" w:type="dxa"/>
              <w:bottom w:w="0" w:type="dxa"/>
              <w:right w:w="108" w:type="dxa"/>
            </w:tcMar>
            <w:hideMark/>
          </w:tcPr>
          <w:p w14:paraId="25204ED0" w14:textId="77777777" w:rsidR="006E5C07" w:rsidRPr="006E5C07" w:rsidRDefault="006E5C07" w:rsidP="006E5C07">
            <w:pPr>
              <w:spacing w:after="0" w:line="240" w:lineRule="auto"/>
              <w:jc w:val="right"/>
              <w:rPr>
                <w:rFonts w:ascii="Calibri" w:eastAsia="Times New Roman" w:hAnsi="Calibri" w:cs="Calibri"/>
              </w:rPr>
            </w:pPr>
          </w:p>
        </w:tc>
        <w:tc>
          <w:tcPr>
            <w:tcW w:w="639" w:type="dxa"/>
            <w:tcBorders>
              <w:top w:val="nil"/>
              <w:left w:val="nil"/>
              <w:bottom w:val="single" w:sz="8" w:space="0" w:color="auto"/>
              <w:right w:val="nil"/>
            </w:tcBorders>
            <w:tcMar>
              <w:top w:w="0" w:type="dxa"/>
              <w:left w:w="108" w:type="dxa"/>
              <w:bottom w:w="0" w:type="dxa"/>
              <w:right w:w="108" w:type="dxa"/>
            </w:tcMar>
            <w:hideMark/>
          </w:tcPr>
          <w:p w14:paraId="637C526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8" w:type="dxa"/>
            <w:tcMar>
              <w:top w:w="0" w:type="dxa"/>
              <w:left w:w="108" w:type="dxa"/>
              <w:bottom w:w="0" w:type="dxa"/>
              <w:right w:w="108" w:type="dxa"/>
            </w:tcMar>
            <w:hideMark/>
          </w:tcPr>
          <w:p w14:paraId="33725F9C" w14:textId="77777777" w:rsidR="006E5C07" w:rsidRPr="006E5C07" w:rsidRDefault="006E5C07" w:rsidP="006E5C07">
            <w:pPr>
              <w:spacing w:after="0" w:line="240" w:lineRule="auto"/>
              <w:jc w:val="right"/>
              <w:rPr>
                <w:rFonts w:ascii="Calibri" w:eastAsia="Times New Roman" w:hAnsi="Calibri" w:cs="Calibri"/>
              </w:rPr>
            </w:pPr>
          </w:p>
        </w:tc>
        <w:tc>
          <w:tcPr>
            <w:tcW w:w="772" w:type="dxa"/>
            <w:tcBorders>
              <w:top w:val="nil"/>
              <w:left w:val="nil"/>
              <w:bottom w:val="single" w:sz="8" w:space="0" w:color="auto"/>
              <w:right w:val="nil"/>
            </w:tcBorders>
            <w:tcMar>
              <w:top w:w="0" w:type="dxa"/>
              <w:left w:w="108" w:type="dxa"/>
              <w:bottom w:w="0" w:type="dxa"/>
              <w:right w:w="108" w:type="dxa"/>
            </w:tcMar>
            <w:hideMark/>
          </w:tcPr>
          <w:p w14:paraId="45CAB8D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(98)</w:t>
            </w:r>
          </w:p>
        </w:tc>
        <w:tc>
          <w:tcPr>
            <w:tcW w:w="67" w:type="dxa"/>
            <w:tcMar>
              <w:top w:w="0" w:type="dxa"/>
              <w:left w:w="108" w:type="dxa"/>
              <w:bottom w:w="0" w:type="dxa"/>
              <w:right w:w="108" w:type="dxa"/>
            </w:tcMar>
            <w:hideMark/>
          </w:tcPr>
          <w:p w14:paraId="0D22E449" w14:textId="77777777" w:rsidR="006E5C07" w:rsidRPr="006E5C07" w:rsidRDefault="006E5C07" w:rsidP="006E5C07">
            <w:pPr>
              <w:spacing w:after="0" w:line="240" w:lineRule="auto"/>
              <w:jc w:val="right"/>
              <w:rPr>
                <w:rFonts w:ascii="Calibri" w:eastAsia="Times New Roman" w:hAnsi="Calibri" w:cs="Calibri"/>
              </w:rPr>
            </w:pPr>
          </w:p>
        </w:tc>
        <w:tc>
          <w:tcPr>
            <w:tcW w:w="918" w:type="dxa"/>
            <w:tcBorders>
              <w:top w:val="nil"/>
              <w:left w:val="nil"/>
              <w:bottom w:val="single" w:sz="8" w:space="0" w:color="auto"/>
              <w:right w:val="nil"/>
            </w:tcBorders>
            <w:tcMar>
              <w:top w:w="0" w:type="dxa"/>
              <w:left w:w="108" w:type="dxa"/>
              <w:bottom w:w="0" w:type="dxa"/>
              <w:right w:w="108" w:type="dxa"/>
            </w:tcMar>
            <w:hideMark/>
          </w:tcPr>
          <w:p w14:paraId="0E9C6A8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20" w:type="dxa"/>
            <w:tcMar>
              <w:top w:w="0" w:type="dxa"/>
              <w:left w:w="108" w:type="dxa"/>
              <w:bottom w:w="0" w:type="dxa"/>
              <w:right w:w="108" w:type="dxa"/>
            </w:tcMar>
            <w:hideMark/>
          </w:tcPr>
          <w:p w14:paraId="21AEDA97" w14:textId="77777777" w:rsidR="006E5C07" w:rsidRPr="006E5C07" w:rsidRDefault="006E5C07" w:rsidP="006E5C07">
            <w:pPr>
              <w:spacing w:after="0" w:line="240" w:lineRule="auto"/>
              <w:jc w:val="right"/>
              <w:rPr>
                <w:rFonts w:ascii="Calibri" w:eastAsia="Times New Roman" w:hAnsi="Calibri" w:cs="Calibri"/>
              </w:rPr>
            </w:pPr>
          </w:p>
        </w:tc>
        <w:tc>
          <w:tcPr>
            <w:tcW w:w="824" w:type="dxa"/>
            <w:tcBorders>
              <w:top w:val="nil"/>
              <w:left w:val="nil"/>
              <w:bottom w:val="single" w:sz="8" w:space="0" w:color="auto"/>
              <w:right w:val="nil"/>
            </w:tcBorders>
            <w:tcMar>
              <w:top w:w="0" w:type="dxa"/>
              <w:left w:w="108" w:type="dxa"/>
              <w:bottom w:w="0" w:type="dxa"/>
              <w:right w:w="108" w:type="dxa"/>
            </w:tcMar>
            <w:hideMark/>
          </w:tcPr>
          <w:p w14:paraId="4C0492C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(98)</w:t>
            </w:r>
          </w:p>
        </w:tc>
      </w:tr>
      <w:tr w:rsidR="006E5C07" w:rsidRPr="006E5C07" w14:paraId="0E6BADE0" w14:textId="77777777" w:rsidTr="006E5C07">
        <w:tc>
          <w:tcPr>
            <w:tcW w:w="2047" w:type="dxa"/>
            <w:tcMar>
              <w:top w:w="0" w:type="dxa"/>
              <w:left w:w="108" w:type="dxa"/>
              <w:bottom w:w="0" w:type="dxa"/>
              <w:right w:w="108" w:type="dxa"/>
            </w:tcMar>
            <w:hideMark/>
          </w:tcPr>
          <w:p w14:paraId="40A27076"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Total transactions with</w:t>
            </w:r>
          </w:p>
        </w:tc>
        <w:tc>
          <w:tcPr>
            <w:tcW w:w="498" w:type="dxa"/>
            <w:tcBorders>
              <w:top w:val="nil"/>
              <w:left w:val="nil"/>
              <w:bottom w:val="nil"/>
              <w:right w:val="nil"/>
            </w:tcBorders>
            <w:tcMar>
              <w:top w:w="0" w:type="dxa"/>
              <w:left w:w="108" w:type="dxa"/>
              <w:bottom w:w="0" w:type="dxa"/>
              <w:right w:w="108" w:type="dxa"/>
            </w:tcMar>
            <w:hideMark/>
          </w:tcPr>
          <w:p w14:paraId="32C144EC"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63" w:type="dxa"/>
            <w:tcMar>
              <w:top w:w="0" w:type="dxa"/>
              <w:left w:w="108" w:type="dxa"/>
              <w:bottom w:w="0" w:type="dxa"/>
              <w:right w:w="108" w:type="dxa"/>
            </w:tcMar>
            <w:hideMark/>
          </w:tcPr>
          <w:p w14:paraId="3B7DD459" w14:textId="77777777" w:rsidR="006E5C07" w:rsidRPr="006E5C07" w:rsidRDefault="006E5C07" w:rsidP="006E5C07">
            <w:pPr>
              <w:spacing w:after="0" w:line="240" w:lineRule="auto"/>
              <w:jc w:val="right"/>
              <w:rPr>
                <w:rFonts w:ascii="Calibri" w:eastAsia="Times New Roman" w:hAnsi="Calibri" w:cs="Calibri"/>
              </w:rPr>
            </w:pPr>
          </w:p>
        </w:tc>
        <w:tc>
          <w:tcPr>
            <w:tcW w:w="780" w:type="dxa"/>
            <w:tcBorders>
              <w:top w:val="nil"/>
              <w:left w:val="nil"/>
              <w:bottom w:val="nil"/>
              <w:right w:val="nil"/>
            </w:tcBorders>
            <w:tcMar>
              <w:top w:w="0" w:type="dxa"/>
              <w:left w:w="108" w:type="dxa"/>
              <w:bottom w:w="0" w:type="dxa"/>
              <w:right w:w="108" w:type="dxa"/>
            </w:tcMar>
            <w:hideMark/>
          </w:tcPr>
          <w:p w14:paraId="6548202A"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63" w:type="dxa"/>
            <w:tcMar>
              <w:top w:w="0" w:type="dxa"/>
              <w:left w:w="108" w:type="dxa"/>
              <w:bottom w:w="0" w:type="dxa"/>
              <w:right w:w="108" w:type="dxa"/>
            </w:tcMar>
            <w:hideMark/>
          </w:tcPr>
          <w:p w14:paraId="1B06D030" w14:textId="77777777" w:rsidR="006E5C07" w:rsidRPr="006E5C07" w:rsidRDefault="006E5C07" w:rsidP="006E5C07">
            <w:pPr>
              <w:spacing w:after="0" w:line="240" w:lineRule="auto"/>
              <w:jc w:val="right"/>
              <w:rPr>
                <w:rFonts w:ascii="Calibri" w:eastAsia="Times New Roman" w:hAnsi="Calibri" w:cs="Calibri"/>
              </w:rPr>
            </w:pPr>
          </w:p>
        </w:tc>
        <w:tc>
          <w:tcPr>
            <w:tcW w:w="639" w:type="dxa"/>
            <w:tcBorders>
              <w:top w:val="nil"/>
              <w:left w:val="nil"/>
              <w:bottom w:val="nil"/>
              <w:right w:val="nil"/>
            </w:tcBorders>
            <w:tcMar>
              <w:top w:w="0" w:type="dxa"/>
              <w:left w:w="108" w:type="dxa"/>
              <w:bottom w:w="0" w:type="dxa"/>
              <w:right w:w="108" w:type="dxa"/>
            </w:tcMar>
            <w:hideMark/>
          </w:tcPr>
          <w:p w14:paraId="6F6D8E9C"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68" w:type="dxa"/>
            <w:tcMar>
              <w:top w:w="0" w:type="dxa"/>
              <w:left w:w="108" w:type="dxa"/>
              <w:bottom w:w="0" w:type="dxa"/>
              <w:right w:w="108" w:type="dxa"/>
            </w:tcMar>
            <w:hideMark/>
          </w:tcPr>
          <w:p w14:paraId="5904FA52" w14:textId="77777777" w:rsidR="006E5C07" w:rsidRPr="006E5C07" w:rsidRDefault="006E5C07" w:rsidP="006E5C07">
            <w:pPr>
              <w:spacing w:after="0" w:line="240" w:lineRule="auto"/>
              <w:jc w:val="right"/>
              <w:rPr>
                <w:rFonts w:ascii="Calibri" w:eastAsia="Times New Roman" w:hAnsi="Calibri" w:cs="Calibri"/>
                <w:b/>
                <w:bCs/>
              </w:rPr>
            </w:pPr>
          </w:p>
        </w:tc>
        <w:tc>
          <w:tcPr>
            <w:tcW w:w="772" w:type="dxa"/>
            <w:tcBorders>
              <w:top w:val="nil"/>
              <w:left w:val="nil"/>
              <w:bottom w:val="nil"/>
              <w:right w:val="nil"/>
            </w:tcBorders>
            <w:tcMar>
              <w:top w:w="0" w:type="dxa"/>
              <w:left w:w="108" w:type="dxa"/>
              <w:bottom w:w="0" w:type="dxa"/>
              <w:right w:w="108" w:type="dxa"/>
            </w:tcMar>
            <w:hideMark/>
          </w:tcPr>
          <w:p w14:paraId="2F03FB2D"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(98)</w:t>
            </w:r>
          </w:p>
        </w:tc>
        <w:tc>
          <w:tcPr>
            <w:tcW w:w="67" w:type="dxa"/>
            <w:tcMar>
              <w:top w:w="0" w:type="dxa"/>
              <w:left w:w="108" w:type="dxa"/>
              <w:bottom w:w="0" w:type="dxa"/>
              <w:right w:w="108" w:type="dxa"/>
            </w:tcMar>
            <w:hideMark/>
          </w:tcPr>
          <w:p w14:paraId="46C7A997" w14:textId="77777777" w:rsidR="006E5C07" w:rsidRPr="006E5C07" w:rsidRDefault="006E5C07" w:rsidP="006E5C07">
            <w:pPr>
              <w:spacing w:after="0" w:line="240" w:lineRule="auto"/>
              <w:jc w:val="right"/>
              <w:rPr>
                <w:rFonts w:ascii="Calibri" w:eastAsia="Times New Roman" w:hAnsi="Calibri" w:cs="Calibri"/>
              </w:rPr>
            </w:pPr>
          </w:p>
        </w:tc>
        <w:tc>
          <w:tcPr>
            <w:tcW w:w="918" w:type="dxa"/>
            <w:tcBorders>
              <w:top w:val="nil"/>
              <w:left w:val="nil"/>
              <w:bottom w:val="nil"/>
              <w:right w:val="nil"/>
            </w:tcBorders>
            <w:tcMar>
              <w:top w:w="0" w:type="dxa"/>
              <w:left w:w="108" w:type="dxa"/>
              <w:bottom w:w="0" w:type="dxa"/>
              <w:right w:w="108" w:type="dxa"/>
            </w:tcMar>
            <w:hideMark/>
          </w:tcPr>
          <w:p w14:paraId="74C1E131"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20" w:type="dxa"/>
            <w:tcMar>
              <w:top w:w="0" w:type="dxa"/>
              <w:left w:w="108" w:type="dxa"/>
              <w:bottom w:w="0" w:type="dxa"/>
              <w:right w:w="108" w:type="dxa"/>
            </w:tcMar>
            <w:hideMark/>
          </w:tcPr>
          <w:p w14:paraId="4CE8FEC0" w14:textId="77777777" w:rsidR="006E5C07" w:rsidRPr="006E5C07" w:rsidRDefault="006E5C07" w:rsidP="006E5C07">
            <w:pPr>
              <w:spacing w:after="0" w:line="240" w:lineRule="auto"/>
              <w:jc w:val="right"/>
              <w:rPr>
                <w:rFonts w:ascii="Calibri" w:eastAsia="Times New Roman" w:hAnsi="Calibri" w:cs="Calibri"/>
              </w:rPr>
            </w:pPr>
          </w:p>
        </w:tc>
        <w:tc>
          <w:tcPr>
            <w:tcW w:w="824" w:type="dxa"/>
            <w:tcBorders>
              <w:top w:val="nil"/>
              <w:left w:val="nil"/>
              <w:bottom w:val="nil"/>
              <w:right w:val="nil"/>
            </w:tcBorders>
            <w:tcMar>
              <w:top w:w="0" w:type="dxa"/>
              <w:left w:w="108" w:type="dxa"/>
              <w:bottom w:w="0" w:type="dxa"/>
              <w:right w:w="108" w:type="dxa"/>
            </w:tcMar>
            <w:hideMark/>
          </w:tcPr>
          <w:p w14:paraId="2181DF99"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(98)</w:t>
            </w:r>
          </w:p>
        </w:tc>
      </w:tr>
      <w:tr w:rsidR="006E5C07" w:rsidRPr="006E5C07" w14:paraId="05BC9017" w14:textId="77777777" w:rsidTr="006E5C07">
        <w:tc>
          <w:tcPr>
            <w:tcW w:w="2047" w:type="dxa"/>
            <w:tcMar>
              <w:top w:w="0" w:type="dxa"/>
              <w:left w:w="108" w:type="dxa"/>
              <w:bottom w:w="0" w:type="dxa"/>
              <w:right w:w="108" w:type="dxa"/>
            </w:tcMar>
            <w:hideMark/>
          </w:tcPr>
          <w:p w14:paraId="53FA342E"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owners</w:t>
            </w:r>
          </w:p>
        </w:tc>
        <w:tc>
          <w:tcPr>
            <w:tcW w:w="498" w:type="dxa"/>
            <w:tcMar>
              <w:top w:w="0" w:type="dxa"/>
              <w:left w:w="108" w:type="dxa"/>
              <w:bottom w:w="0" w:type="dxa"/>
              <w:right w:w="108" w:type="dxa"/>
            </w:tcMar>
            <w:hideMark/>
          </w:tcPr>
          <w:p w14:paraId="40B09F54" w14:textId="77777777" w:rsidR="006E5C07" w:rsidRPr="006E5C07" w:rsidRDefault="006E5C07" w:rsidP="006E5C07">
            <w:pPr>
              <w:spacing w:after="0" w:line="240" w:lineRule="auto"/>
              <w:jc w:val="right"/>
              <w:rPr>
                <w:rFonts w:ascii="Calibri" w:eastAsia="Times New Roman" w:hAnsi="Calibri" w:cs="Calibri"/>
                <w:b/>
                <w:bCs/>
              </w:rPr>
            </w:pPr>
          </w:p>
        </w:tc>
        <w:tc>
          <w:tcPr>
            <w:tcW w:w="63" w:type="dxa"/>
            <w:tcMar>
              <w:top w:w="0" w:type="dxa"/>
              <w:left w:w="108" w:type="dxa"/>
              <w:bottom w:w="0" w:type="dxa"/>
              <w:right w:w="108" w:type="dxa"/>
            </w:tcMar>
            <w:hideMark/>
          </w:tcPr>
          <w:p w14:paraId="52DD3274" w14:textId="77777777" w:rsidR="006E5C07" w:rsidRPr="006E5C07" w:rsidRDefault="006E5C07" w:rsidP="006E5C07">
            <w:pPr>
              <w:spacing w:after="0" w:line="240" w:lineRule="auto"/>
              <w:jc w:val="right"/>
              <w:rPr>
                <w:rFonts w:ascii="Calibri" w:eastAsia="Times New Roman" w:hAnsi="Calibri" w:cs="Calibri"/>
              </w:rPr>
            </w:pPr>
          </w:p>
        </w:tc>
        <w:tc>
          <w:tcPr>
            <w:tcW w:w="780" w:type="dxa"/>
            <w:tcMar>
              <w:top w:w="0" w:type="dxa"/>
              <w:left w:w="108" w:type="dxa"/>
              <w:bottom w:w="0" w:type="dxa"/>
              <w:right w:w="108" w:type="dxa"/>
            </w:tcMar>
            <w:hideMark/>
          </w:tcPr>
          <w:p w14:paraId="0AE57D49" w14:textId="77777777" w:rsidR="006E5C07" w:rsidRPr="006E5C07" w:rsidRDefault="006E5C07" w:rsidP="006E5C07">
            <w:pPr>
              <w:spacing w:after="0" w:line="240" w:lineRule="auto"/>
              <w:jc w:val="right"/>
              <w:rPr>
                <w:rFonts w:ascii="Calibri" w:eastAsia="Times New Roman" w:hAnsi="Calibri" w:cs="Calibri"/>
                <w:b/>
                <w:bCs/>
              </w:rPr>
            </w:pPr>
          </w:p>
        </w:tc>
        <w:tc>
          <w:tcPr>
            <w:tcW w:w="63" w:type="dxa"/>
            <w:tcMar>
              <w:top w:w="0" w:type="dxa"/>
              <w:left w:w="108" w:type="dxa"/>
              <w:bottom w:w="0" w:type="dxa"/>
              <w:right w:w="108" w:type="dxa"/>
            </w:tcMar>
            <w:hideMark/>
          </w:tcPr>
          <w:p w14:paraId="210417A3" w14:textId="77777777" w:rsidR="006E5C07" w:rsidRPr="006E5C07" w:rsidRDefault="006E5C07" w:rsidP="006E5C07">
            <w:pPr>
              <w:spacing w:after="0" w:line="240" w:lineRule="auto"/>
              <w:jc w:val="right"/>
              <w:rPr>
                <w:rFonts w:ascii="Calibri" w:eastAsia="Times New Roman" w:hAnsi="Calibri" w:cs="Calibri"/>
              </w:rPr>
            </w:pPr>
          </w:p>
        </w:tc>
        <w:tc>
          <w:tcPr>
            <w:tcW w:w="639" w:type="dxa"/>
            <w:tcMar>
              <w:top w:w="0" w:type="dxa"/>
              <w:left w:w="108" w:type="dxa"/>
              <w:bottom w:w="0" w:type="dxa"/>
              <w:right w:w="108" w:type="dxa"/>
            </w:tcMar>
            <w:hideMark/>
          </w:tcPr>
          <w:p w14:paraId="350B91F2" w14:textId="77777777" w:rsidR="006E5C07" w:rsidRPr="006E5C07" w:rsidRDefault="006E5C07" w:rsidP="006E5C07">
            <w:pPr>
              <w:spacing w:after="0" w:line="240" w:lineRule="auto"/>
              <w:jc w:val="right"/>
              <w:rPr>
                <w:rFonts w:ascii="Calibri" w:eastAsia="Times New Roman" w:hAnsi="Calibri" w:cs="Calibri"/>
              </w:rPr>
            </w:pPr>
          </w:p>
        </w:tc>
        <w:tc>
          <w:tcPr>
            <w:tcW w:w="68" w:type="dxa"/>
            <w:tcMar>
              <w:top w:w="0" w:type="dxa"/>
              <w:left w:w="108" w:type="dxa"/>
              <w:bottom w:w="0" w:type="dxa"/>
              <w:right w:w="108" w:type="dxa"/>
            </w:tcMar>
            <w:hideMark/>
          </w:tcPr>
          <w:p w14:paraId="17EAC091" w14:textId="77777777" w:rsidR="006E5C07" w:rsidRPr="006E5C07" w:rsidRDefault="006E5C07" w:rsidP="006E5C07">
            <w:pPr>
              <w:spacing w:after="0" w:line="240" w:lineRule="auto"/>
              <w:jc w:val="right"/>
              <w:rPr>
                <w:rFonts w:ascii="Calibri" w:eastAsia="Times New Roman" w:hAnsi="Calibri" w:cs="Calibri"/>
              </w:rPr>
            </w:pPr>
          </w:p>
        </w:tc>
        <w:tc>
          <w:tcPr>
            <w:tcW w:w="772" w:type="dxa"/>
            <w:tcMar>
              <w:top w:w="0" w:type="dxa"/>
              <w:left w:w="108" w:type="dxa"/>
              <w:bottom w:w="0" w:type="dxa"/>
              <w:right w:w="108" w:type="dxa"/>
            </w:tcMar>
            <w:hideMark/>
          </w:tcPr>
          <w:p w14:paraId="23EA3160" w14:textId="77777777" w:rsidR="006E5C07" w:rsidRPr="006E5C07" w:rsidRDefault="006E5C07" w:rsidP="006E5C07">
            <w:pPr>
              <w:spacing w:after="0" w:line="240" w:lineRule="auto"/>
              <w:jc w:val="right"/>
              <w:rPr>
                <w:rFonts w:ascii="Calibri" w:eastAsia="Times New Roman" w:hAnsi="Calibri" w:cs="Calibri"/>
                <w:b/>
                <w:bCs/>
              </w:rPr>
            </w:pPr>
          </w:p>
        </w:tc>
        <w:tc>
          <w:tcPr>
            <w:tcW w:w="67" w:type="dxa"/>
            <w:tcMar>
              <w:top w:w="0" w:type="dxa"/>
              <w:left w:w="108" w:type="dxa"/>
              <w:bottom w:w="0" w:type="dxa"/>
              <w:right w:w="108" w:type="dxa"/>
            </w:tcMar>
            <w:hideMark/>
          </w:tcPr>
          <w:p w14:paraId="6A74FA47"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24B25DCC" w14:textId="77777777" w:rsidR="006E5C07" w:rsidRPr="006E5C07" w:rsidRDefault="006E5C07" w:rsidP="006E5C07">
            <w:pPr>
              <w:spacing w:after="0" w:line="240" w:lineRule="auto"/>
              <w:jc w:val="right"/>
              <w:rPr>
                <w:rFonts w:ascii="Calibri" w:eastAsia="Times New Roman" w:hAnsi="Calibri" w:cs="Calibri"/>
              </w:rPr>
            </w:pPr>
          </w:p>
        </w:tc>
        <w:tc>
          <w:tcPr>
            <w:tcW w:w="20" w:type="dxa"/>
            <w:tcMar>
              <w:top w:w="0" w:type="dxa"/>
              <w:left w:w="108" w:type="dxa"/>
              <w:bottom w:w="0" w:type="dxa"/>
              <w:right w:w="108" w:type="dxa"/>
            </w:tcMar>
            <w:hideMark/>
          </w:tcPr>
          <w:p w14:paraId="69C51314" w14:textId="77777777" w:rsidR="006E5C07" w:rsidRPr="006E5C07" w:rsidRDefault="006E5C07" w:rsidP="006E5C07">
            <w:pPr>
              <w:spacing w:after="0" w:line="240" w:lineRule="auto"/>
              <w:jc w:val="right"/>
              <w:rPr>
                <w:rFonts w:ascii="Calibri" w:eastAsia="Times New Roman" w:hAnsi="Calibri" w:cs="Calibri"/>
              </w:rPr>
            </w:pPr>
          </w:p>
        </w:tc>
        <w:tc>
          <w:tcPr>
            <w:tcW w:w="824" w:type="dxa"/>
            <w:tcMar>
              <w:top w:w="0" w:type="dxa"/>
              <w:left w:w="108" w:type="dxa"/>
              <w:bottom w:w="0" w:type="dxa"/>
              <w:right w:w="108" w:type="dxa"/>
            </w:tcMar>
            <w:hideMark/>
          </w:tcPr>
          <w:p w14:paraId="4879DA67"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61646A53" w14:textId="77777777" w:rsidTr="006E5C07">
        <w:trPr>
          <w:trHeight w:val="219"/>
        </w:trPr>
        <w:tc>
          <w:tcPr>
            <w:tcW w:w="2047" w:type="dxa"/>
            <w:tcMar>
              <w:top w:w="0" w:type="dxa"/>
              <w:left w:w="108" w:type="dxa"/>
              <w:bottom w:w="0" w:type="dxa"/>
              <w:right w:w="108" w:type="dxa"/>
            </w:tcMar>
            <w:hideMark/>
          </w:tcPr>
          <w:p w14:paraId="2DF080B2" w14:textId="77777777" w:rsidR="006E5C07" w:rsidRPr="006E5C07" w:rsidRDefault="006E5C07" w:rsidP="006E5C07">
            <w:pPr>
              <w:spacing w:after="0" w:line="240" w:lineRule="auto"/>
              <w:rPr>
                <w:rFonts w:ascii="Calibri" w:eastAsia="Times New Roman" w:hAnsi="Calibri" w:cs="Calibri"/>
                <w:b/>
                <w:bCs/>
              </w:rPr>
            </w:pPr>
          </w:p>
        </w:tc>
        <w:tc>
          <w:tcPr>
            <w:tcW w:w="498" w:type="dxa"/>
            <w:tcMar>
              <w:top w:w="0" w:type="dxa"/>
              <w:left w:w="108" w:type="dxa"/>
              <w:bottom w:w="0" w:type="dxa"/>
              <w:right w:w="108" w:type="dxa"/>
            </w:tcMar>
            <w:hideMark/>
          </w:tcPr>
          <w:p w14:paraId="7E860B4C" w14:textId="77777777" w:rsidR="006E5C07" w:rsidRPr="006E5C07" w:rsidRDefault="006E5C07" w:rsidP="006E5C07">
            <w:pPr>
              <w:spacing w:after="0" w:line="240" w:lineRule="auto"/>
              <w:jc w:val="right"/>
              <w:rPr>
                <w:rFonts w:ascii="Calibri" w:eastAsia="Times New Roman" w:hAnsi="Calibri" w:cs="Calibri"/>
                <w:b/>
                <w:bCs/>
              </w:rPr>
            </w:pPr>
          </w:p>
        </w:tc>
        <w:tc>
          <w:tcPr>
            <w:tcW w:w="63" w:type="dxa"/>
            <w:tcMar>
              <w:top w:w="0" w:type="dxa"/>
              <w:left w:w="108" w:type="dxa"/>
              <w:bottom w:w="0" w:type="dxa"/>
              <w:right w:w="108" w:type="dxa"/>
            </w:tcMar>
            <w:hideMark/>
          </w:tcPr>
          <w:p w14:paraId="776C4C41" w14:textId="77777777" w:rsidR="006E5C07" w:rsidRPr="006E5C07" w:rsidRDefault="006E5C07" w:rsidP="006E5C07">
            <w:pPr>
              <w:spacing w:after="0" w:line="240" w:lineRule="auto"/>
              <w:jc w:val="right"/>
              <w:rPr>
                <w:rFonts w:ascii="Calibri" w:eastAsia="Times New Roman" w:hAnsi="Calibri" w:cs="Calibri"/>
                <w:b/>
                <w:bCs/>
              </w:rPr>
            </w:pPr>
          </w:p>
        </w:tc>
        <w:tc>
          <w:tcPr>
            <w:tcW w:w="780" w:type="dxa"/>
            <w:tcMar>
              <w:top w:w="0" w:type="dxa"/>
              <w:left w:w="108" w:type="dxa"/>
              <w:bottom w:w="0" w:type="dxa"/>
              <w:right w:w="108" w:type="dxa"/>
            </w:tcMar>
            <w:hideMark/>
          </w:tcPr>
          <w:p w14:paraId="10B65E51" w14:textId="77777777" w:rsidR="006E5C07" w:rsidRPr="006E5C07" w:rsidRDefault="006E5C07" w:rsidP="006E5C07">
            <w:pPr>
              <w:spacing w:after="0" w:line="240" w:lineRule="auto"/>
              <w:jc w:val="right"/>
              <w:rPr>
                <w:rFonts w:ascii="Calibri" w:eastAsia="Times New Roman" w:hAnsi="Calibri" w:cs="Calibri"/>
                <w:b/>
                <w:bCs/>
              </w:rPr>
            </w:pPr>
          </w:p>
        </w:tc>
        <w:tc>
          <w:tcPr>
            <w:tcW w:w="63" w:type="dxa"/>
            <w:tcMar>
              <w:top w:w="0" w:type="dxa"/>
              <w:left w:w="108" w:type="dxa"/>
              <w:bottom w:w="0" w:type="dxa"/>
              <w:right w:w="108" w:type="dxa"/>
            </w:tcMar>
            <w:hideMark/>
          </w:tcPr>
          <w:p w14:paraId="3F4CF0EA" w14:textId="77777777" w:rsidR="006E5C07" w:rsidRPr="006E5C07" w:rsidRDefault="006E5C07" w:rsidP="006E5C07">
            <w:pPr>
              <w:spacing w:after="0" w:line="240" w:lineRule="auto"/>
              <w:jc w:val="right"/>
              <w:rPr>
                <w:rFonts w:ascii="Calibri" w:eastAsia="Times New Roman" w:hAnsi="Calibri" w:cs="Calibri"/>
                <w:b/>
                <w:bCs/>
              </w:rPr>
            </w:pPr>
          </w:p>
        </w:tc>
        <w:tc>
          <w:tcPr>
            <w:tcW w:w="639" w:type="dxa"/>
            <w:tcMar>
              <w:top w:w="0" w:type="dxa"/>
              <w:left w:w="108" w:type="dxa"/>
              <w:bottom w:w="0" w:type="dxa"/>
              <w:right w:w="108" w:type="dxa"/>
            </w:tcMar>
            <w:hideMark/>
          </w:tcPr>
          <w:p w14:paraId="05C31049" w14:textId="77777777" w:rsidR="006E5C07" w:rsidRPr="006E5C07" w:rsidRDefault="006E5C07" w:rsidP="006E5C07">
            <w:pPr>
              <w:spacing w:after="0" w:line="240" w:lineRule="auto"/>
              <w:jc w:val="right"/>
              <w:rPr>
                <w:rFonts w:ascii="Calibri" w:eastAsia="Times New Roman" w:hAnsi="Calibri" w:cs="Calibri"/>
                <w:b/>
                <w:bCs/>
              </w:rPr>
            </w:pPr>
          </w:p>
        </w:tc>
        <w:tc>
          <w:tcPr>
            <w:tcW w:w="68" w:type="dxa"/>
            <w:tcMar>
              <w:top w:w="0" w:type="dxa"/>
              <w:left w:w="108" w:type="dxa"/>
              <w:bottom w:w="0" w:type="dxa"/>
              <w:right w:w="108" w:type="dxa"/>
            </w:tcMar>
            <w:hideMark/>
          </w:tcPr>
          <w:p w14:paraId="27547ABE" w14:textId="77777777" w:rsidR="006E5C07" w:rsidRPr="006E5C07" w:rsidRDefault="006E5C07" w:rsidP="006E5C07">
            <w:pPr>
              <w:spacing w:after="0" w:line="240" w:lineRule="auto"/>
              <w:jc w:val="right"/>
              <w:rPr>
                <w:rFonts w:ascii="Calibri" w:eastAsia="Times New Roman" w:hAnsi="Calibri" w:cs="Calibri"/>
                <w:b/>
                <w:bCs/>
              </w:rPr>
            </w:pPr>
          </w:p>
        </w:tc>
        <w:tc>
          <w:tcPr>
            <w:tcW w:w="772" w:type="dxa"/>
            <w:tcMar>
              <w:top w:w="0" w:type="dxa"/>
              <w:left w:w="108" w:type="dxa"/>
              <w:bottom w:w="0" w:type="dxa"/>
              <w:right w:w="108" w:type="dxa"/>
            </w:tcMar>
            <w:hideMark/>
          </w:tcPr>
          <w:p w14:paraId="6EF583AB" w14:textId="77777777" w:rsidR="006E5C07" w:rsidRPr="006E5C07" w:rsidRDefault="006E5C07" w:rsidP="006E5C07">
            <w:pPr>
              <w:spacing w:after="0" w:line="240" w:lineRule="auto"/>
              <w:jc w:val="right"/>
              <w:rPr>
                <w:rFonts w:ascii="Calibri" w:eastAsia="Times New Roman" w:hAnsi="Calibri" w:cs="Calibri"/>
                <w:b/>
                <w:bCs/>
              </w:rPr>
            </w:pPr>
          </w:p>
        </w:tc>
        <w:tc>
          <w:tcPr>
            <w:tcW w:w="67" w:type="dxa"/>
            <w:tcMar>
              <w:top w:w="0" w:type="dxa"/>
              <w:left w:w="108" w:type="dxa"/>
              <w:bottom w:w="0" w:type="dxa"/>
              <w:right w:w="108" w:type="dxa"/>
            </w:tcMar>
            <w:hideMark/>
          </w:tcPr>
          <w:p w14:paraId="5BC91D3F" w14:textId="77777777" w:rsidR="006E5C07" w:rsidRPr="006E5C07" w:rsidRDefault="006E5C07" w:rsidP="006E5C07">
            <w:pPr>
              <w:spacing w:after="0" w:line="240" w:lineRule="auto"/>
              <w:jc w:val="right"/>
              <w:rPr>
                <w:rFonts w:ascii="Calibri" w:eastAsia="Times New Roman" w:hAnsi="Calibri" w:cs="Calibri"/>
                <w:b/>
                <w:bCs/>
              </w:rPr>
            </w:pPr>
          </w:p>
        </w:tc>
        <w:tc>
          <w:tcPr>
            <w:tcW w:w="918" w:type="dxa"/>
            <w:tcMar>
              <w:top w:w="0" w:type="dxa"/>
              <w:left w:w="108" w:type="dxa"/>
              <w:bottom w:w="0" w:type="dxa"/>
              <w:right w:w="108" w:type="dxa"/>
            </w:tcMar>
            <w:hideMark/>
          </w:tcPr>
          <w:p w14:paraId="4D73E9E7" w14:textId="77777777" w:rsidR="006E5C07" w:rsidRPr="006E5C07" w:rsidRDefault="006E5C07" w:rsidP="006E5C07">
            <w:pPr>
              <w:spacing w:after="0" w:line="240" w:lineRule="auto"/>
              <w:jc w:val="right"/>
              <w:rPr>
                <w:rFonts w:ascii="Calibri" w:eastAsia="Times New Roman" w:hAnsi="Calibri" w:cs="Calibri"/>
                <w:b/>
                <w:bCs/>
              </w:rPr>
            </w:pPr>
          </w:p>
        </w:tc>
        <w:tc>
          <w:tcPr>
            <w:tcW w:w="20" w:type="dxa"/>
            <w:tcMar>
              <w:top w:w="0" w:type="dxa"/>
              <w:left w:w="108" w:type="dxa"/>
              <w:bottom w:w="0" w:type="dxa"/>
              <w:right w:w="108" w:type="dxa"/>
            </w:tcMar>
            <w:hideMark/>
          </w:tcPr>
          <w:p w14:paraId="72E131F5" w14:textId="77777777" w:rsidR="006E5C07" w:rsidRPr="006E5C07" w:rsidRDefault="006E5C07" w:rsidP="006E5C07">
            <w:pPr>
              <w:spacing w:after="0" w:line="240" w:lineRule="auto"/>
              <w:jc w:val="right"/>
              <w:rPr>
                <w:rFonts w:ascii="Calibri" w:eastAsia="Times New Roman" w:hAnsi="Calibri" w:cs="Calibri"/>
                <w:b/>
                <w:bCs/>
              </w:rPr>
            </w:pPr>
          </w:p>
        </w:tc>
        <w:tc>
          <w:tcPr>
            <w:tcW w:w="824" w:type="dxa"/>
            <w:tcMar>
              <w:top w:w="0" w:type="dxa"/>
              <w:left w:w="108" w:type="dxa"/>
              <w:bottom w:w="0" w:type="dxa"/>
              <w:right w:w="108" w:type="dxa"/>
            </w:tcMar>
            <w:hideMark/>
          </w:tcPr>
          <w:p w14:paraId="44468B8D"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3D8C19AD" w14:textId="77777777" w:rsidTr="006E5C07">
        <w:trPr>
          <w:trHeight w:val="219"/>
        </w:trPr>
        <w:tc>
          <w:tcPr>
            <w:tcW w:w="2047" w:type="dxa"/>
            <w:tcMar>
              <w:top w:w="0" w:type="dxa"/>
              <w:left w:w="108" w:type="dxa"/>
              <w:bottom w:w="0" w:type="dxa"/>
              <w:right w:w="108" w:type="dxa"/>
            </w:tcMar>
            <w:hideMark/>
          </w:tcPr>
          <w:p w14:paraId="644FE4A4"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At 31 December 2019 as originally stated</w:t>
            </w:r>
          </w:p>
        </w:tc>
        <w:tc>
          <w:tcPr>
            <w:tcW w:w="498" w:type="dxa"/>
            <w:tcMar>
              <w:top w:w="0" w:type="dxa"/>
              <w:left w:w="108" w:type="dxa"/>
              <w:bottom w:w="0" w:type="dxa"/>
              <w:right w:w="108" w:type="dxa"/>
            </w:tcMar>
            <w:hideMark/>
          </w:tcPr>
          <w:p w14:paraId="68035665"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195</w:t>
            </w:r>
          </w:p>
        </w:tc>
        <w:tc>
          <w:tcPr>
            <w:tcW w:w="63" w:type="dxa"/>
            <w:tcMar>
              <w:top w:w="0" w:type="dxa"/>
              <w:left w:w="108" w:type="dxa"/>
              <w:bottom w:w="0" w:type="dxa"/>
              <w:right w:w="108" w:type="dxa"/>
            </w:tcMar>
            <w:hideMark/>
          </w:tcPr>
          <w:p w14:paraId="63165354" w14:textId="77777777" w:rsidR="006E5C07" w:rsidRPr="006E5C07" w:rsidRDefault="006E5C07" w:rsidP="006E5C07">
            <w:pPr>
              <w:spacing w:after="0" w:line="240" w:lineRule="auto"/>
              <w:jc w:val="right"/>
              <w:rPr>
                <w:rFonts w:ascii="Calibri" w:eastAsia="Times New Roman" w:hAnsi="Calibri" w:cs="Calibri"/>
                <w:b/>
                <w:bCs/>
              </w:rPr>
            </w:pPr>
          </w:p>
        </w:tc>
        <w:tc>
          <w:tcPr>
            <w:tcW w:w="780" w:type="dxa"/>
            <w:tcMar>
              <w:top w:w="0" w:type="dxa"/>
              <w:left w:w="108" w:type="dxa"/>
              <w:bottom w:w="0" w:type="dxa"/>
              <w:right w:w="108" w:type="dxa"/>
            </w:tcMar>
            <w:hideMark/>
          </w:tcPr>
          <w:p w14:paraId="6A87BA45"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4,868</w:t>
            </w:r>
          </w:p>
        </w:tc>
        <w:tc>
          <w:tcPr>
            <w:tcW w:w="63" w:type="dxa"/>
            <w:tcMar>
              <w:top w:w="0" w:type="dxa"/>
              <w:left w:w="108" w:type="dxa"/>
              <w:bottom w:w="0" w:type="dxa"/>
              <w:right w:w="108" w:type="dxa"/>
            </w:tcMar>
            <w:hideMark/>
          </w:tcPr>
          <w:p w14:paraId="7401D376" w14:textId="77777777" w:rsidR="006E5C07" w:rsidRPr="006E5C07" w:rsidRDefault="006E5C07" w:rsidP="006E5C07">
            <w:pPr>
              <w:spacing w:after="0" w:line="240" w:lineRule="auto"/>
              <w:jc w:val="right"/>
              <w:rPr>
                <w:rFonts w:ascii="Calibri" w:eastAsia="Times New Roman" w:hAnsi="Calibri" w:cs="Calibri"/>
                <w:b/>
                <w:bCs/>
              </w:rPr>
            </w:pPr>
          </w:p>
        </w:tc>
        <w:tc>
          <w:tcPr>
            <w:tcW w:w="639" w:type="dxa"/>
            <w:tcMar>
              <w:top w:w="0" w:type="dxa"/>
              <w:left w:w="108" w:type="dxa"/>
              <w:bottom w:w="0" w:type="dxa"/>
              <w:right w:w="108" w:type="dxa"/>
            </w:tcMar>
            <w:hideMark/>
          </w:tcPr>
          <w:p w14:paraId="051A5360"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233</w:t>
            </w:r>
          </w:p>
        </w:tc>
        <w:tc>
          <w:tcPr>
            <w:tcW w:w="68" w:type="dxa"/>
            <w:tcMar>
              <w:top w:w="0" w:type="dxa"/>
              <w:left w:w="108" w:type="dxa"/>
              <w:bottom w:w="0" w:type="dxa"/>
              <w:right w:w="108" w:type="dxa"/>
            </w:tcMar>
            <w:hideMark/>
          </w:tcPr>
          <w:p w14:paraId="5DFD46F1" w14:textId="77777777" w:rsidR="006E5C07" w:rsidRPr="006E5C07" w:rsidRDefault="006E5C07" w:rsidP="006E5C07">
            <w:pPr>
              <w:spacing w:after="0" w:line="240" w:lineRule="auto"/>
              <w:jc w:val="right"/>
              <w:rPr>
                <w:rFonts w:ascii="Calibri" w:eastAsia="Times New Roman" w:hAnsi="Calibri" w:cs="Calibri"/>
                <w:b/>
                <w:bCs/>
              </w:rPr>
            </w:pPr>
          </w:p>
        </w:tc>
        <w:tc>
          <w:tcPr>
            <w:tcW w:w="772" w:type="dxa"/>
            <w:tcMar>
              <w:top w:w="0" w:type="dxa"/>
              <w:left w:w="108" w:type="dxa"/>
              <w:bottom w:w="0" w:type="dxa"/>
              <w:right w:w="108" w:type="dxa"/>
            </w:tcMar>
            <w:hideMark/>
          </w:tcPr>
          <w:p w14:paraId="589766D0"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3,771</w:t>
            </w:r>
          </w:p>
        </w:tc>
        <w:tc>
          <w:tcPr>
            <w:tcW w:w="67" w:type="dxa"/>
            <w:tcMar>
              <w:top w:w="0" w:type="dxa"/>
              <w:left w:w="108" w:type="dxa"/>
              <w:bottom w:w="0" w:type="dxa"/>
              <w:right w:w="108" w:type="dxa"/>
            </w:tcMar>
            <w:hideMark/>
          </w:tcPr>
          <w:p w14:paraId="43501C8B" w14:textId="77777777" w:rsidR="006E5C07" w:rsidRPr="006E5C07" w:rsidRDefault="006E5C07" w:rsidP="006E5C07">
            <w:pPr>
              <w:spacing w:after="0" w:line="240" w:lineRule="auto"/>
              <w:jc w:val="right"/>
              <w:rPr>
                <w:rFonts w:ascii="Calibri" w:eastAsia="Times New Roman" w:hAnsi="Calibri" w:cs="Calibri"/>
                <w:b/>
                <w:bCs/>
              </w:rPr>
            </w:pPr>
          </w:p>
        </w:tc>
        <w:tc>
          <w:tcPr>
            <w:tcW w:w="918" w:type="dxa"/>
            <w:tcMar>
              <w:top w:w="0" w:type="dxa"/>
              <w:left w:w="108" w:type="dxa"/>
              <w:bottom w:w="0" w:type="dxa"/>
              <w:right w:w="108" w:type="dxa"/>
            </w:tcMar>
            <w:hideMark/>
          </w:tcPr>
          <w:p w14:paraId="7363D84F"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215</w:t>
            </w:r>
          </w:p>
        </w:tc>
        <w:tc>
          <w:tcPr>
            <w:tcW w:w="20" w:type="dxa"/>
            <w:tcMar>
              <w:top w:w="0" w:type="dxa"/>
              <w:left w:w="108" w:type="dxa"/>
              <w:bottom w:w="0" w:type="dxa"/>
              <w:right w:w="108" w:type="dxa"/>
            </w:tcMar>
            <w:hideMark/>
          </w:tcPr>
          <w:p w14:paraId="586E4A68" w14:textId="77777777" w:rsidR="006E5C07" w:rsidRPr="006E5C07" w:rsidRDefault="006E5C07" w:rsidP="006E5C07">
            <w:pPr>
              <w:spacing w:after="0" w:line="240" w:lineRule="auto"/>
              <w:jc w:val="right"/>
              <w:rPr>
                <w:rFonts w:ascii="Calibri" w:eastAsia="Times New Roman" w:hAnsi="Calibri" w:cs="Calibri"/>
                <w:b/>
                <w:bCs/>
              </w:rPr>
            </w:pPr>
          </w:p>
        </w:tc>
        <w:tc>
          <w:tcPr>
            <w:tcW w:w="824" w:type="dxa"/>
            <w:tcMar>
              <w:top w:w="0" w:type="dxa"/>
              <w:left w:w="108" w:type="dxa"/>
              <w:bottom w:w="0" w:type="dxa"/>
              <w:right w:w="108" w:type="dxa"/>
            </w:tcMar>
            <w:hideMark/>
          </w:tcPr>
          <w:p w14:paraId="1A294D6D"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9,282</w:t>
            </w:r>
          </w:p>
        </w:tc>
      </w:tr>
      <w:tr w:rsidR="006E5C07" w:rsidRPr="006E5C07" w14:paraId="0E466C65" w14:textId="77777777" w:rsidTr="006E5C07">
        <w:trPr>
          <w:trHeight w:val="219"/>
        </w:trPr>
        <w:tc>
          <w:tcPr>
            <w:tcW w:w="2047" w:type="dxa"/>
            <w:tcMar>
              <w:top w:w="0" w:type="dxa"/>
              <w:left w:w="108" w:type="dxa"/>
              <w:bottom w:w="0" w:type="dxa"/>
              <w:right w:w="108" w:type="dxa"/>
            </w:tcMar>
            <w:hideMark/>
          </w:tcPr>
          <w:p w14:paraId="42C1DBD6"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Prior period adjustment</w:t>
            </w:r>
          </w:p>
        </w:tc>
        <w:tc>
          <w:tcPr>
            <w:tcW w:w="498" w:type="dxa"/>
            <w:tcBorders>
              <w:top w:val="nil"/>
              <w:left w:val="nil"/>
              <w:bottom w:val="single" w:sz="8" w:space="0" w:color="auto"/>
              <w:right w:val="nil"/>
            </w:tcBorders>
            <w:tcMar>
              <w:top w:w="0" w:type="dxa"/>
              <w:left w:w="108" w:type="dxa"/>
              <w:bottom w:w="0" w:type="dxa"/>
              <w:right w:w="108" w:type="dxa"/>
            </w:tcMar>
            <w:hideMark/>
          </w:tcPr>
          <w:p w14:paraId="221B805A"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63" w:type="dxa"/>
            <w:tcMar>
              <w:top w:w="0" w:type="dxa"/>
              <w:left w:w="108" w:type="dxa"/>
              <w:bottom w:w="0" w:type="dxa"/>
              <w:right w:w="108" w:type="dxa"/>
            </w:tcMar>
            <w:hideMark/>
          </w:tcPr>
          <w:p w14:paraId="1417CDD8" w14:textId="77777777" w:rsidR="006E5C07" w:rsidRPr="006E5C07" w:rsidRDefault="006E5C07" w:rsidP="006E5C07">
            <w:pPr>
              <w:spacing w:after="0" w:line="240" w:lineRule="auto"/>
              <w:jc w:val="right"/>
              <w:rPr>
                <w:rFonts w:ascii="Calibri" w:eastAsia="Times New Roman" w:hAnsi="Calibri" w:cs="Calibri"/>
                <w:b/>
                <w:bCs/>
              </w:rPr>
            </w:pPr>
          </w:p>
        </w:tc>
        <w:tc>
          <w:tcPr>
            <w:tcW w:w="780" w:type="dxa"/>
            <w:tcBorders>
              <w:top w:val="nil"/>
              <w:left w:val="nil"/>
              <w:bottom w:val="single" w:sz="8" w:space="0" w:color="auto"/>
              <w:right w:val="nil"/>
            </w:tcBorders>
            <w:tcMar>
              <w:top w:w="0" w:type="dxa"/>
              <w:left w:w="108" w:type="dxa"/>
              <w:bottom w:w="0" w:type="dxa"/>
              <w:right w:w="108" w:type="dxa"/>
            </w:tcMar>
            <w:hideMark/>
          </w:tcPr>
          <w:p w14:paraId="7040A671"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63" w:type="dxa"/>
            <w:tcMar>
              <w:top w:w="0" w:type="dxa"/>
              <w:left w:w="108" w:type="dxa"/>
              <w:bottom w:w="0" w:type="dxa"/>
              <w:right w:w="108" w:type="dxa"/>
            </w:tcMar>
            <w:hideMark/>
          </w:tcPr>
          <w:p w14:paraId="7B3E281F" w14:textId="77777777" w:rsidR="006E5C07" w:rsidRPr="006E5C07" w:rsidRDefault="006E5C07" w:rsidP="006E5C07">
            <w:pPr>
              <w:spacing w:after="0" w:line="240" w:lineRule="auto"/>
              <w:jc w:val="right"/>
              <w:rPr>
                <w:rFonts w:ascii="Calibri" w:eastAsia="Times New Roman" w:hAnsi="Calibri" w:cs="Calibri"/>
                <w:b/>
                <w:bCs/>
              </w:rPr>
            </w:pPr>
          </w:p>
        </w:tc>
        <w:tc>
          <w:tcPr>
            <w:tcW w:w="639" w:type="dxa"/>
            <w:tcBorders>
              <w:top w:val="nil"/>
              <w:left w:val="nil"/>
              <w:bottom w:val="single" w:sz="8" w:space="0" w:color="auto"/>
              <w:right w:val="nil"/>
            </w:tcBorders>
            <w:tcMar>
              <w:top w:w="0" w:type="dxa"/>
              <w:left w:w="108" w:type="dxa"/>
              <w:bottom w:w="0" w:type="dxa"/>
              <w:right w:w="108" w:type="dxa"/>
            </w:tcMar>
            <w:hideMark/>
          </w:tcPr>
          <w:p w14:paraId="1A961CD5"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68" w:type="dxa"/>
            <w:tcMar>
              <w:top w:w="0" w:type="dxa"/>
              <w:left w:w="108" w:type="dxa"/>
              <w:bottom w:w="0" w:type="dxa"/>
              <w:right w:w="108" w:type="dxa"/>
            </w:tcMar>
            <w:hideMark/>
          </w:tcPr>
          <w:p w14:paraId="0BDCDCB1" w14:textId="77777777" w:rsidR="006E5C07" w:rsidRPr="006E5C07" w:rsidRDefault="006E5C07" w:rsidP="006E5C07">
            <w:pPr>
              <w:spacing w:after="0" w:line="240" w:lineRule="auto"/>
              <w:jc w:val="right"/>
              <w:rPr>
                <w:rFonts w:ascii="Calibri" w:eastAsia="Times New Roman" w:hAnsi="Calibri" w:cs="Calibri"/>
                <w:b/>
                <w:bCs/>
              </w:rPr>
            </w:pPr>
          </w:p>
        </w:tc>
        <w:tc>
          <w:tcPr>
            <w:tcW w:w="772" w:type="dxa"/>
            <w:tcBorders>
              <w:top w:val="nil"/>
              <w:left w:val="nil"/>
              <w:bottom w:val="single" w:sz="8" w:space="0" w:color="auto"/>
              <w:right w:val="nil"/>
            </w:tcBorders>
            <w:tcMar>
              <w:top w:w="0" w:type="dxa"/>
              <w:left w:w="108" w:type="dxa"/>
              <w:bottom w:w="0" w:type="dxa"/>
              <w:right w:w="108" w:type="dxa"/>
            </w:tcMar>
            <w:hideMark/>
          </w:tcPr>
          <w:p w14:paraId="330B2674"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(972)</w:t>
            </w:r>
          </w:p>
        </w:tc>
        <w:tc>
          <w:tcPr>
            <w:tcW w:w="67" w:type="dxa"/>
            <w:tcMar>
              <w:top w:w="0" w:type="dxa"/>
              <w:left w:w="108" w:type="dxa"/>
              <w:bottom w:w="0" w:type="dxa"/>
              <w:right w:w="108" w:type="dxa"/>
            </w:tcMar>
            <w:hideMark/>
          </w:tcPr>
          <w:p w14:paraId="4DCEF3CD" w14:textId="77777777" w:rsidR="006E5C07" w:rsidRPr="006E5C07" w:rsidRDefault="006E5C07" w:rsidP="006E5C07">
            <w:pPr>
              <w:spacing w:after="0" w:line="240" w:lineRule="auto"/>
              <w:jc w:val="right"/>
              <w:rPr>
                <w:rFonts w:ascii="Calibri" w:eastAsia="Times New Roman" w:hAnsi="Calibri" w:cs="Calibri"/>
                <w:b/>
                <w:bCs/>
              </w:rPr>
            </w:pPr>
          </w:p>
        </w:tc>
        <w:tc>
          <w:tcPr>
            <w:tcW w:w="918" w:type="dxa"/>
            <w:tcBorders>
              <w:top w:val="nil"/>
              <w:left w:val="nil"/>
              <w:bottom w:val="single" w:sz="8" w:space="0" w:color="auto"/>
              <w:right w:val="nil"/>
            </w:tcBorders>
            <w:tcMar>
              <w:top w:w="0" w:type="dxa"/>
              <w:left w:w="108" w:type="dxa"/>
              <w:bottom w:w="0" w:type="dxa"/>
              <w:right w:w="108" w:type="dxa"/>
            </w:tcMar>
            <w:hideMark/>
          </w:tcPr>
          <w:p w14:paraId="176BDA24"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20" w:type="dxa"/>
            <w:tcMar>
              <w:top w:w="0" w:type="dxa"/>
              <w:left w:w="108" w:type="dxa"/>
              <w:bottom w:w="0" w:type="dxa"/>
              <w:right w:w="108" w:type="dxa"/>
            </w:tcMar>
            <w:hideMark/>
          </w:tcPr>
          <w:p w14:paraId="1F9C4250" w14:textId="77777777" w:rsidR="006E5C07" w:rsidRPr="006E5C07" w:rsidRDefault="006E5C07" w:rsidP="006E5C07">
            <w:pPr>
              <w:spacing w:after="0" w:line="240" w:lineRule="auto"/>
              <w:jc w:val="right"/>
              <w:rPr>
                <w:rFonts w:ascii="Calibri" w:eastAsia="Times New Roman" w:hAnsi="Calibri" w:cs="Calibri"/>
                <w:b/>
                <w:bCs/>
              </w:rPr>
            </w:pPr>
          </w:p>
        </w:tc>
        <w:tc>
          <w:tcPr>
            <w:tcW w:w="824" w:type="dxa"/>
            <w:tcBorders>
              <w:top w:val="nil"/>
              <w:left w:val="nil"/>
              <w:bottom w:val="single" w:sz="8" w:space="0" w:color="auto"/>
              <w:right w:val="nil"/>
            </w:tcBorders>
            <w:tcMar>
              <w:top w:w="0" w:type="dxa"/>
              <w:left w:w="108" w:type="dxa"/>
              <w:bottom w:w="0" w:type="dxa"/>
              <w:right w:w="108" w:type="dxa"/>
            </w:tcMar>
            <w:hideMark/>
          </w:tcPr>
          <w:p w14:paraId="48A8C97C"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(972)</w:t>
            </w:r>
          </w:p>
        </w:tc>
      </w:tr>
      <w:tr w:rsidR="006E5C07" w:rsidRPr="006E5C07" w14:paraId="23B038E9" w14:textId="77777777" w:rsidTr="006E5C07">
        <w:trPr>
          <w:trHeight w:val="219"/>
        </w:trPr>
        <w:tc>
          <w:tcPr>
            <w:tcW w:w="2047" w:type="dxa"/>
            <w:tcMar>
              <w:top w:w="0" w:type="dxa"/>
              <w:left w:w="108" w:type="dxa"/>
              <w:bottom w:w="0" w:type="dxa"/>
              <w:right w:w="108" w:type="dxa"/>
            </w:tcMar>
            <w:hideMark/>
          </w:tcPr>
          <w:p w14:paraId="3EB92A12"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At 31 December 2019 as restated</w:t>
            </w:r>
          </w:p>
        </w:tc>
        <w:tc>
          <w:tcPr>
            <w:tcW w:w="498" w:type="dxa"/>
            <w:tcBorders>
              <w:top w:val="nil"/>
              <w:left w:val="nil"/>
              <w:bottom w:val="single" w:sz="8" w:space="0" w:color="auto"/>
              <w:right w:val="nil"/>
            </w:tcBorders>
            <w:tcMar>
              <w:top w:w="0" w:type="dxa"/>
              <w:left w:w="108" w:type="dxa"/>
              <w:bottom w:w="0" w:type="dxa"/>
              <w:right w:w="108" w:type="dxa"/>
            </w:tcMar>
            <w:hideMark/>
          </w:tcPr>
          <w:p w14:paraId="608FC409"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 </w:t>
            </w:r>
          </w:p>
          <w:p w14:paraId="066082C3"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195</w:t>
            </w:r>
          </w:p>
        </w:tc>
        <w:tc>
          <w:tcPr>
            <w:tcW w:w="63" w:type="dxa"/>
            <w:tcMar>
              <w:top w:w="0" w:type="dxa"/>
              <w:left w:w="108" w:type="dxa"/>
              <w:bottom w:w="0" w:type="dxa"/>
              <w:right w:w="108" w:type="dxa"/>
            </w:tcMar>
            <w:hideMark/>
          </w:tcPr>
          <w:p w14:paraId="3F851F1F" w14:textId="77777777" w:rsidR="006E5C07" w:rsidRPr="006E5C07" w:rsidRDefault="006E5C07" w:rsidP="006E5C07">
            <w:pPr>
              <w:spacing w:after="0" w:line="240" w:lineRule="auto"/>
              <w:jc w:val="right"/>
              <w:rPr>
                <w:rFonts w:ascii="Calibri" w:eastAsia="Times New Roman" w:hAnsi="Calibri" w:cs="Calibri"/>
                <w:b/>
                <w:bCs/>
              </w:rPr>
            </w:pPr>
          </w:p>
        </w:tc>
        <w:tc>
          <w:tcPr>
            <w:tcW w:w="780" w:type="dxa"/>
            <w:tcBorders>
              <w:top w:val="nil"/>
              <w:left w:val="nil"/>
              <w:bottom w:val="single" w:sz="8" w:space="0" w:color="auto"/>
              <w:right w:val="nil"/>
            </w:tcBorders>
            <w:tcMar>
              <w:top w:w="0" w:type="dxa"/>
              <w:left w:w="108" w:type="dxa"/>
              <w:bottom w:w="0" w:type="dxa"/>
              <w:right w:w="108" w:type="dxa"/>
            </w:tcMar>
            <w:hideMark/>
          </w:tcPr>
          <w:p w14:paraId="7107CF83"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 </w:t>
            </w:r>
          </w:p>
          <w:p w14:paraId="53B0B9F8"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4,868</w:t>
            </w:r>
          </w:p>
        </w:tc>
        <w:tc>
          <w:tcPr>
            <w:tcW w:w="63" w:type="dxa"/>
            <w:tcMar>
              <w:top w:w="0" w:type="dxa"/>
              <w:left w:w="108" w:type="dxa"/>
              <w:bottom w:w="0" w:type="dxa"/>
              <w:right w:w="108" w:type="dxa"/>
            </w:tcMar>
            <w:hideMark/>
          </w:tcPr>
          <w:p w14:paraId="3DDB2FCB" w14:textId="77777777" w:rsidR="006E5C07" w:rsidRPr="006E5C07" w:rsidRDefault="006E5C07" w:rsidP="006E5C07">
            <w:pPr>
              <w:spacing w:after="0" w:line="240" w:lineRule="auto"/>
              <w:jc w:val="right"/>
              <w:rPr>
                <w:rFonts w:ascii="Calibri" w:eastAsia="Times New Roman" w:hAnsi="Calibri" w:cs="Calibri"/>
                <w:b/>
                <w:bCs/>
              </w:rPr>
            </w:pPr>
          </w:p>
        </w:tc>
        <w:tc>
          <w:tcPr>
            <w:tcW w:w="639" w:type="dxa"/>
            <w:tcBorders>
              <w:top w:val="nil"/>
              <w:left w:val="nil"/>
              <w:bottom w:val="single" w:sz="8" w:space="0" w:color="auto"/>
              <w:right w:val="nil"/>
            </w:tcBorders>
            <w:tcMar>
              <w:top w:w="0" w:type="dxa"/>
              <w:left w:w="108" w:type="dxa"/>
              <w:bottom w:w="0" w:type="dxa"/>
              <w:right w:w="108" w:type="dxa"/>
            </w:tcMar>
            <w:hideMark/>
          </w:tcPr>
          <w:p w14:paraId="1CC54A47"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 </w:t>
            </w:r>
          </w:p>
          <w:p w14:paraId="57BF3CDD"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233</w:t>
            </w:r>
          </w:p>
        </w:tc>
        <w:tc>
          <w:tcPr>
            <w:tcW w:w="68" w:type="dxa"/>
            <w:tcMar>
              <w:top w:w="0" w:type="dxa"/>
              <w:left w:w="108" w:type="dxa"/>
              <w:bottom w:w="0" w:type="dxa"/>
              <w:right w:w="108" w:type="dxa"/>
            </w:tcMar>
            <w:hideMark/>
          </w:tcPr>
          <w:p w14:paraId="5E8ED787"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 </w:t>
            </w:r>
          </w:p>
          <w:p w14:paraId="28EF4FC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 </w:t>
            </w:r>
          </w:p>
        </w:tc>
        <w:tc>
          <w:tcPr>
            <w:tcW w:w="772" w:type="dxa"/>
            <w:tcBorders>
              <w:top w:val="nil"/>
              <w:left w:val="nil"/>
              <w:bottom w:val="single" w:sz="8" w:space="0" w:color="auto"/>
              <w:right w:val="nil"/>
            </w:tcBorders>
            <w:tcMar>
              <w:top w:w="0" w:type="dxa"/>
              <w:left w:w="108" w:type="dxa"/>
              <w:bottom w:w="0" w:type="dxa"/>
              <w:right w:w="108" w:type="dxa"/>
            </w:tcMar>
            <w:hideMark/>
          </w:tcPr>
          <w:p w14:paraId="7FD54BAD"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 </w:t>
            </w:r>
          </w:p>
          <w:p w14:paraId="34C534B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2,799</w:t>
            </w:r>
          </w:p>
        </w:tc>
        <w:tc>
          <w:tcPr>
            <w:tcW w:w="67" w:type="dxa"/>
            <w:tcMar>
              <w:top w:w="0" w:type="dxa"/>
              <w:left w:w="108" w:type="dxa"/>
              <w:bottom w:w="0" w:type="dxa"/>
              <w:right w:w="108" w:type="dxa"/>
            </w:tcMar>
            <w:hideMark/>
          </w:tcPr>
          <w:p w14:paraId="0C853179" w14:textId="77777777" w:rsidR="006E5C07" w:rsidRPr="006E5C07" w:rsidRDefault="006E5C07" w:rsidP="006E5C07">
            <w:pPr>
              <w:spacing w:after="0" w:line="240" w:lineRule="auto"/>
              <w:jc w:val="right"/>
              <w:rPr>
                <w:rFonts w:ascii="Calibri" w:eastAsia="Times New Roman" w:hAnsi="Calibri" w:cs="Calibri"/>
                <w:b/>
                <w:bCs/>
              </w:rPr>
            </w:pPr>
          </w:p>
        </w:tc>
        <w:tc>
          <w:tcPr>
            <w:tcW w:w="918" w:type="dxa"/>
            <w:tcBorders>
              <w:top w:val="nil"/>
              <w:left w:val="nil"/>
              <w:bottom w:val="single" w:sz="8" w:space="0" w:color="auto"/>
              <w:right w:val="nil"/>
            </w:tcBorders>
            <w:tcMar>
              <w:top w:w="0" w:type="dxa"/>
              <w:left w:w="108" w:type="dxa"/>
              <w:bottom w:w="0" w:type="dxa"/>
              <w:right w:w="108" w:type="dxa"/>
            </w:tcMar>
            <w:hideMark/>
          </w:tcPr>
          <w:p w14:paraId="6CC79744"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 </w:t>
            </w:r>
          </w:p>
          <w:p w14:paraId="40030144"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215</w:t>
            </w:r>
          </w:p>
        </w:tc>
        <w:tc>
          <w:tcPr>
            <w:tcW w:w="20" w:type="dxa"/>
            <w:tcMar>
              <w:top w:w="0" w:type="dxa"/>
              <w:left w:w="108" w:type="dxa"/>
              <w:bottom w:w="0" w:type="dxa"/>
              <w:right w:w="108" w:type="dxa"/>
            </w:tcMar>
            <w:hideMark/>
          </w:tcPr>
          <w:p w14:paraId="4E546764" w14:textId="77777777" w:rsidR="006E5C07" w:rsidRPr="006E5C07" w:rsidRDefault="006E5C07" w:rsidP="006E5C07">
            <w:pPr>
              <w:spacing w:after="0" w:line="240" w:lineRule="auto"/>
              <w:jc w:val="right"/>
              <w:rPr>
                <w:rFonts w:ascii="Calibri" w:eastAsia="Times New Roman" w:hAnsi="Calibri" w:cs="Calibri"/>
                <w:b/>
                <w:bCs/>
              </w:rPr>
            </w:pPr>
          </w:p>
        </w:tc>
        <w:tc>
          <w:tcPr>
            <w:tcW w:w="824" w:type="dxa"/>
            <w:tcBorders>
              <w:top w:val="nil"/>
              <w:left w:val="nil"/>
              <w:bottom w:val="single" w:sz="8" w:space="0" w:color="auto"/>
              <w:right w:val="nil"/>
            </w:tcBorders>
            <w:tcMar>
              <w:top w:w="0" w:type="dxa"/>
              <w:left w:w="108" w:type="dxa"/>
              <w:bottom w:w="0" w:type="dxa"/>
              <w:right w:w="108" w:type="dxa"/>
            </w:tcMar>
            <w:hideMark/>
          </w:tcPr>
          <w:p w14:paraId="170F516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 </w:t>
            </w:r>
          </w:p>
          <w:p w14:paraId="41B3A43B"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8,310</w:t>
            </w:r>
          </w:p>
        </w:tc>
      </w:tr>
    </w:tbl>
    <w:p w14:paraId="3A841571" w14:textId="77777777" w:rsidR="006E5C07" w:rsidRPr="006E5C07" w:rsidRDefault="006E5C07" w:rsidP="006E5C07">
      <w:pPr>
        <w:spacing w:line="253" w:lineRule="atLeast"/>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2019"/>
        <w:gridCol w:w="521"/>
        <w:gridCol w:w="222"/>
        <w:gridCol w:w="776"/>
        <w:gridCol w:w="222"/>
        <w:gridCol w:w="635"/>
        <w:gridCol w:w="222"/>
        <w:gridCol w:w="801"/>
        <w:gridCol w:w="222"/>
        <w:gridCol w:w="918"/>
        <w:gridCol w:w="222"/>
        <w:gridCol w:w="801"/>
      </w:tblGrid>
      <w:tr w:rsidR="006E5C07" w:rsidRPr="006E5C07" w14:paraId="3DF4265B" w14:textId="77777777" w:rsidTr="006E5C07">
        <w:tc>
          <w:tcPr>
            <w:tcW w:w="2019" w:type="dxa"/>
            <w:tcMar>
              <w:top w:w="0" w:type="dxa"/>
              <w:left w:w="108" w:type="dxa"/>
              <w:bottom w:w="0" w:type="dxa"/>
              <w:right w:w="108" w:type="dxa"/>
            </w:tcMar>
            <w:hideMark/>
          </w:tcPr>
          <w:p w14:paraId="78375EDF"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Comprehensive</w:t>
            </w:r>
          </w:p>
        </w:tc>
        <w:tc>
          <w:tcPr>
            <w:tcW w:w="521" w:type="dxa"/>
            <w:tcMar>
              <w:top w:w="0" w:type="dxa"/>
              <w:left w:w="108" w:type="dxa"/>
              <w:bottom w:w="0" w:type="dxa"/>
              <w:right w:w="108" w:type="dxa"/>
            </w:tcMar>
            <w:hideMark/>
          </w:tcPr>
          <w:p w14:paraId="7F3F9482" w14:textId="77777777" w:rsidR="006E5C07" w:rsidRPr="006E5C07" w:rsidRDefault="006E5C07" w:rsidP="006E5C07">
            <w:pPr>
              <w:spacing w:after="0" w:line="240" w:lineRule="auto"/>
              <w:jc w:val="right"/>
              <w:rPr>
                <w:rFonts w:ascii="Calibri" w:eastAsia="Times New Roman" w:hAnsi="Calibri" w:cs="Calibri"/>
              </w:rPr>
            </w:pPr>
          </w:p>
        </w:tc>
        <w:tc>
          <w:tcPr>
            <w:tcW w:w="68" w:type="dxa"/>
            <w:tcMar>
              <w:top w:w="0" w:type="dxa"/>
              <w:left w:w="108" w:type="dxa"/>
              <w:bottom w:w="0" w:type="dxa"/>
              <w:right w:w="108" w:type="dxa"/>
            </w:tcMar>
            <w:hideMark/>
          </w:tcPr>
          <w:p w14:paraId="45313709" w14:textId="77777777" w:rsidR="006E5C07" w:rsidRPr="006E5C07" w:rsidRDefault="006E5C07" w:rsidP="006E5C07">
            <w:pPr>
              <w:spacing w:after="0" w:line="240" w:lineRule="auto"/>
              <w:jc w:val="right"/>
              <w:rPr>
                <w:rFonts w:ascii="Calibri" w:eastAsia="Times New Roman" w:hAnsi="Calibri" w:cs="Calibri"/>
              </w:rPr>
            </w:pPr>
          </w:p>
        </w:tc>
        <w:tc>
          <w:tcPr>
            <w:tcW w:w="776" w:type="dxa"/>
            <w:tcMar>
              <w:top w:w="0" w:type="dxa"/>
              <w:left w:w="108" w:type="dxa"/>
              <w:bottom w:w="0" w:type="dxa"/>
              <w:right w:w="108" w:type="dxa"/>
            </w:tcMar>
            <w:hideMark/>
          </w:tcPr>
          <w:p w14:paraId="0C193F32" w14:textId="77777777" w:rsidR="006E5C07" w:rsidRPr="006E5C07" w:rsidRDefault="006E5C07" w:rsidP="006E5C07">
            <w:pPr>
              <w:spacing w:after="0" w:line="240" w:lineRule="auto"/>
              <w:jc w:val="right"/>
              <w:rPr>
                <w:rFonts w:ascii="Calibri" w:eastAsia="Times New Roman" w:hAnsi="Calibri" w:cs="Calibri"/>
              </w:rPr>
            </w:pPr>
          </w:p>
        </w:tc>
        <w:tc>
          <w:tcPr>
            <w:tcW w:w="67" w:type="dxa"/>
            <w:tcMar>
              <w:top w:w="0" w:type="dxa"/>
              <w:left w:w="108" w:type="dxa"/>
              <w:bottom w:w="0" w:type="dxa"/>
              <w:right w:w="108" w:type="dxa"/>
            </w:tcMar>
            <w:hideMark/>
          </w:tcPr>
          <w:p w14:paraId="3F9A1C5C" w14:textId="77777777" w:rsidR="006E5C07" w:rsidRPr="006E5C07" w:rsidRDefault="006E5C07" w:rsidP="006E5C07">
            <w:pPr>
              <w:spacing w:after="0" w:line="240" w:lineRule="auto"/>
              <w:jc w:val="right"/>
              <w:rPr>
                <w:rFonts w:ascii="Calibri" w:eastAsia="Times New Roman" w:hAnsi="Calibri" w:cs="Calibri"/>
              </w:rPr>
            </w:pPr>
          </w:p>
        </w:tc>
        <w:tc>
          <w:tcPr>
            <w:tcW w:w="635" w:type="dxa"/>
            <w:tcMar>
              <w:top w:w="0" w:type="dxa"/>
              <w:left w:w="108" w:type="dxa"/>
              <w:bottom w:w="0" w:type="dxa"/>
              <w:right w:w="108" w:type="dxa"/>
            </w:tcMar>
            <w:hideMark/>
          </w:tcPr>
          <w:p w14:paraId="163EBBEF" w14:textId="77777777" w:rsidR="006E5C07" w:rsidRPr="006E5C07" w:rsidRDefault="006E5C07" w:rsidP="006E5C07">
            <w:pPr>
              <w:spacing w:after="0" w:line="240" w:lineRule="auto"/>
              <w:jc w:val="right"/>
              <w:rPr>
                <w:rFonts w:ascii="Calibri" w:eastAsia="Times New Roman" w:hAnsi="Calibri" w:cs="Calibri"/>
              </w:rPr>
            </w:pPr>
          </w:p>
        </w:tc>
        <w:tc>
          <w:tcPr>
            <w:tcW w:w="67" w:type="dxa"/>
            <w:tcMar>
              <w:top w:w="0" w:type="dxa"/>
              <w:left w:w="108" w:type="dxa"/>
              <w:bottom w:w="0" w:type="dxa"/>
              <w:right w:w="108" w:type="dxa"/>
            </w:tcMar>
            <w:hideMark/>
          </w:tcPr>
          <w:p w14:paraId="7FBC7060" w14:textId="77777777" w:rsidR="006E5C07" w:rsidRPr="006E5C07" w:rsidRDefault="006E5C07" w:rsidP="006E5C07">
            <w:pPr>
              <w:spacing w:after="0" w:line="240" w:lineRule="auto"/>
              <w:jc w:val="right"/>
              <w:rPr>
                <w:rFonts w:ascii="Calibri" w:eastAsia="Times New Roman" w:hAnsi="Calibri" w:cs="Calibri"/>
              </w:rPr>
            </w:pPr>
          </w:p>
        </w:tc>
        <w:tc>
          <w:tcPr>
            <w:tcW w:w="777" w:type="dxa"/>
            <w:tcMar>
              <w:top w:w="0" w:type="dxa"/>
              <w:left w:w="108" w:type="dxa"/>
              <w:bottom w:w="0" w:type="dxa"/>
              <w:right w:w="108" w:type="dxa"/>
            </w:tcMar>
            <w:hideMark/>
          </w:tcPr>
          <w:p w14:paraId="7B3007AF" w14:textId="77777777" w:rsidR="006E5C07" w:rsidRPr="006E5C07" w:rsidRDefault="006E5C07" w:rsidP="006E5C07">
            <w:pPr>
              <w:spacing w:after="0" w:line="240" w:lineRule="auto"/>
              <w:jc w:val="right"/>
              <w:rPr>
                <w:rFonts w:ascii="Calibri" w:eastAsia="Times New Roman" w:hAnsi="Calibri" w:cs="Calibri"/>
              </w:rPr>
            </w:pPr>
          </w:p>
        </w:tc>
        <w:tc>
          <w:tcPr>
            <w:tcW w:w="67" w:type="dxa"/>
            <w:tcMar>
              <w:top w:w="0" w:type="dxa"/>
              <w:left w:w="108" w:type="dxa"/>
              <w:bottom w:w="0" w:type="dxa"/>
              <w:right w:w="108" w:type="dxa"/>
            </w:tcMar>
            <w:hideMark/>
          </w:tcPr>
          <w:p w14:paraId="7CA3CBAB"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32C94C25" w14:textId="77777777" w:rsidR="006E5C07" w:rsidRPr="006E5C07" w:rsidRDefault="006E5C07" w:rsidP="006E5C07">
            <w:pPr>
              <w:spacing w:after="0" w:line="240" w:lineRule="auto"/>
              <w:jc w:val="right"/>
              <w:rPr>
                <w:rFonts w:ascii="Calibri" w:eastAsia="Times New Roman" w:hAnsi="Calibri" w:cs="Calibri"/>
              </w:rPr>
            </w:pPr>
          </w:p>
        </w:tc>
        <w:tc>
          <w:tcPr>
            <w:tcW w:w="68" w:type="dxa"/>
            <w:tcMar>
              <w:top w:w="0" w:type="dxa"/>
              <w:left w:w="108" w:type="dxa"/>
              <w:bottom w:w="0" w:type="dxa"/>
              <w:right w:w="108" w:type="dxa"/>
            </w:tcMar>
            <w:hideMark/>
          </w:tcPr>
          <w:p w14:paraId="6F7AE601" w14:textId="77777777" w:rsidR="006E5C07" w:rsidRPr="006E5C07" w:rsidRDefault="006E5C07" w:rsidP="006E5C07">
            <w:pPr>
              <w:spacing w:after="0" w:line="240" w:lineRule="auto"/>
              <w:jc w:val="right"/>
              <w:rPr>
                <w:rFonts w:ascii="Calibri" w:eastAsia="Times New Roman" w:hAnsi="Calibri" w:cs="Calibri"/>
              </w:rPr>
            </w:pPr>
          </w:p>
        </w:tc>
        <w:tc>
          <w:tcPr>
            <w:tcW w:w="776" w:type="dxa"/>
            <w:tcMar>
              <w:top w:w="0" w:type="dxa"/>
              <w:left w:w="108" w:type="dxa"/>
              <w:bottom w:w="0" w:type="dxa"/>
              <w:right w:w="108" w:type="dxa"/>
            </w:tcMar>
            <w:hideMark/>
          </w:tcPr>
          <w:p w14:paraId="58D6A7E7"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60F8F6AC" w14:textId="77777777" w:rsidTr="006E5C07">
        <w:tc>
          <w:tcPr>
            <w:tcW w:w="2019" w:type="dxa"/>
            <w:tcMar>
              <w:top w:w="0" w:type="dxa"/>
              <w:left w:w="108" w:type="dxa"/>
              <w:bottom w:w="0" w:type="dxa"/>
              <w:right w:w="108" w:type="dxa"/>
            </w:tcMar>
            <w:hideMark/>
          </w:tcPr>
          <w:p w14:paraId="5A7037F1"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income:</w:t>
            </w:r>
          </w:p>
        </w:tc>
        <w:tc>
          <w:tcPr>
            <w:tcW w:w="521" w:type="dxa"/>
            <w:tcMar>
              <w:top w:w="0" w:type="dxa"/>
              <w:left w:w="108" w:type="dxa"/>
              <w:bottom w:w="0" w:type="dxa"/>
              <w:right w:w="108" w:type="dxa"/>
            </w:tcMar>
            <w:hideMark/>
          </w:tcPr>
          <w:p w14:paraId="1E1EEBF3" w14:textId="77777777" w:rsidR="006E5C07" w:rsidRPr="006E5C07" w:rsidRDefault="006E5C07" w:rsidP="006E5C07">
            <w:pPr>
              <w:spacing w:after="0" w:line="240" w:lineRule="auto"/>
              <w:jc w:val="right"/>
              <w:rPr>
                <w:rFonts w:ascii="Calibri" w:eastAsia="Times New Roman" w:hAnsi="Calibri" w:cs="Calibri"/>
              </w:rPr>
            </w:pPr>
          </w:p>
        </w:tc>
        <w:tc>
          <w:tcPr>
            <w:tcW w:w="68" w:type="dxa"/>
            <w:tcMar>
              <w:top w:w="0" w:type="dxa"/>
              <w:left w:w="108" w:type="dxa"/>
              <w:bottom w:w="0" w:type="dxa"/>
              <w:right w:w="108" w:type="dxa"/>
            </w:tcMar>
            <w:hideMark/>
          </w:tcPr>
          <w:p w14:paraId="234E8320" w14:textId="77777777" w:rsidR="006E5C07" w:rsidRPr="006E5C07" w:rsidRDefault="006E5C07" w:rsidP="006E5C07">
            <w:pPr>
              <w:spacing w:after="0" w:line="240" w:lineRule="auto"/>
              <w:jc w:val="right"/>
              <w:rPr>
                <w:rFonts w:ascii="Calibri" w:eastAsia="Times New Roman" w:hAnsi="Calibri" w:cs="Calibri"/>
              </w:rPr>
            </w:pPr>
          </w:p>
        </w:tc>
        <w:tc>
          <w:tcPr>
            <w:tcW w:w="776" w:type="dxa"/>
            <w:tcMar>
              <w:top w:w="0" w:type="dxa"/>
              <w:left w:w="108" w:type="dxa"/>
              <w:bottom w:w="0" w:type="dxa"/>
              <w:right w:w="108" w:type="dxa"/>
            </w:tcMar>
            <w:hideMark/>
          </w:tcPr>
          <w:p w14:paraId="16091ECC" w14:textId="77777777" w:rsidR="006E5C07" w:rsidRPr="006E5C07" w:rsidRDefault="006E5C07" w:rsidP="006E5C07">
            <w:pPr>
              <w:spacing w:after="0" w:line="240" w:lineRule="auto"/>
              <w:jc w:val="right"/>
              <w:rPr>
                <w:rFonts w:ascii="Calibri" w:eastAsia="Times New Roman" w:hAnsi="Calibri" w:cs="Calibri"/>
              </w:rPr>
            </w:pPr>
          </w:p>
        </w:tc>
        <w:tc>
          <w:tcPr>
            <w:tcW w:w="67" w:type="dxa"/>
            <w:tcMar>
              <w:top w:w="0" w:type="dxa"/>
              <w:left w:w="108" w:type="dxa"/>
              <w:bottom w:w="0" w:type="dxa"/>
              <w:right w:w="108" w:type="dxa"/>
            </w:tcMar>
            <w:hideMark/>
          </w:tcPr>
          <w:p w14:paraId="76EF261D" w14:textId="77777777" w:rsidR="006E5C07" w:rsidRPr="006E5C07" w:rsidRDefault="006E5C07" w:rsidP="006E5C07">
            <w:pPr>
              <w:spacing w:after="0" w:line="240" w:lineRule="auto"/>
              <w:jc w:val="right"/>
              <w:rPr>
                <w:rFonts w:ascii="Calibri" w:eastAsia="Times New Roman" w:hAnsi="Calibri" w:cs="Calibri"/>
              </w:rPr>
            </w:pPr>
          </w:p>
        </w:tc>
        <w:tc>
          <w:tcPr>
            <w:tcW w:w="635" w:type="dxa"/>
            <w:tcMar>
              <w:top w:w="0" w:type="dxa"/>
              <w:left w:w="108" w:type="dxa"/>
              <w:bottom w:w="0" w:type="dxa"/>
              <w:right w:w="108" w:type="dxa"/>
            </w:tcMar>
            <w:hideMark/>
          </w:tcPr>
          <w:p w14:paraId="4F96149B" w14:textId="77777777" w:rsidR="006E5C07" w:rsidRPr="006E5C07" w:rsidRDefault="006E5C07" w:rsidP="006E5C07">
            <w:pPr>
              <w:spacing w:after="0" w:line="240" w:lineRule="auto"/>
              <w:jc w:val="right"/>
              <w:rPr>
                <w:rFonts w:ascii="Calibri" w:eastAsia="Times New Roman" w:hAnsi="Calibri" w:cs="Calibri"/>
              </w:rPr>
            </w:pPr>
          </w:p>
        </w:tc>
        <w:tc>
          <w:tcPr>
            <w:tcW w:w="67" w:type="dxa"/>
            <w:tcMar>
              <w:top w:w="0" w:type="dxa"/>
              <w:left w:w="108" w:type="dxa"/>
              <w:bottom w:w="0" w:type="dxa"/>
              <w:right w:w="108" w:type="dxa"/>
            </w:tcMar>
            <w:hideMark/>
          </w:tcPr>
          <w:p w14:paraId="4BA151B4" w14:textId="77777777" w:rsidR="006E5C07" w:rsidRPr="006E5C07" w:rsidRDefault="006E5C07" w:rsidP="006E5C07">
            <w:pPr>
              <w:spacing w:after="0" w:line="240" w:lineRule="auto"/>
              <w:jc w:val="right"/>
              <w:rPr>
                <w:rFonts w:ascii="Calibri" w:eastAsia="Times New Roman" w:hAnsi="Calibri" w:cs="Calibri"/>
              </w:rPr>
            </w:pPr>
          </w:p>
        </w:tc>
        <w:tc>
          <w:tcPr>
            <w:tcW w:w="777" w:type="dxa"/>
            <w:tcMar>
              <w:top w:w="0" w:type="dxa"/>
              <w:left w:w="108" w:type="dxa"/>
              <w:bottom w:w="0" w:type="dxa"/>
              <w:right w:w="108" w:type="dxa"/>
            </w:tcMar>
            <w:hideMark/>
          </w:tcPr>
          <w:p w14:paraId="06C8469A" w14:textId="77777777" w:rsidR="006E5C07" w:rsidRPr="006E5C07" w:rsidRDefault="006E5C07" w:rsidP="006E5C07">
            <w:pPr>
              <w:spacing w:after="0" w:line="240" w:lineRule="auto"/>
              <w:jc w:val="right"/>
              <w:rPr>
                <w:rFonts w:ascii="Calibri" w:eastAsia="Times New Roman" w:hAnsi="Calibri" w:cs="Calibri"/>
              </w:rPr>
            </w:pPr>
          </w:p>
        </w:tc>
        <w:tc>
          <w:tcPr>
            <w:tcW w:w="67" w:type="dxa"/>
            <w:tcMar>
              <w:top w:w="0" w:type="dxa"/>
              <w:left w:w="108" w:type="dxa"/>
              <w:bottom w:w="0" w:type="dxa"/>
              <w:right w:w="108" w:type="dxa"/>
            </w:tcMar>
            <w:hideMark/>
          </w:tcPr>
          <w:p w14:paraId="4C493E1D"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30E0B2E8" w14:textId="77777777" w:rsidR="006E5C07" w:rsidRPr="006E5C07" w:rsidRDefault="006E5C07" w:rsidP="006E5C07">
            <w:pPr>
              <w:spacing w:after="0" w:line="240" w:lineRule="auto"/>
              <w:jc w:val="right"/>
              <w:rPr>
                <w:rFonts w:ascii="Calibri" w:eastAsia="Times New Roman" w:hAnsi="Calibri" w:cs="Calibri"/>
              </w:rPr>
            </w:pPr>
          </w:p>
        </w:tc>
        <w:tc>
          <w:tcPr>
            <w:tcW w:w="68" w:type="dxa"/>
            <w:tcMar>
              <w:top w:w="0" w:type="dxa"/>
              <w:left w:w="108" w:type="dxa"/>
              <w:bottom w:w="0" w:type="dxa"/>
              <w:right w:w="108" w:type="dxa"/>
            </w:tcMar>
            <w:hideMark/>
          </w:tcPr>
          <w:p w14:paraId="373C35FD" w14:textId="77777777" w:rsidR="006E5C07" w:rsidRPr="006E5C07" w:rsidRDefault="006E5C07" w:rsidP="006E5C07">
            <w:pPr>
              <w:spacing w:after="0" w:line="240" w:lineRule="auto"/>
              <w:jc w:val="right"/>
              <w:rPr>
                <w:rFonts w:ascii="Calibri" w:eastAsia="Times New Roman" w:hAnsi="Calibri" w:cs="Calibri"/>
              </w:rPr>
            </w:pPr>
          </w:p>
        </w:tc>
        <w:tc>
          <w:tcPr>
            <w:tcW w:w="776" w:type="dxa"/>
            <w:tcMar>
              <w:top w:w="0" w:type="dxa"/>
              <w:left w:w="108" w:type="dxa"/>
              <w:bottom w:w="0" w:type="dxa"/>
              <w:right w:w="108" w:type="dxa"/>
            </w:tcMar>
            <w:hideMark/>
          </w:tcPr>
          <w:p w14:paraId="1BEFFE3C"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65F29E20" w14:textId="77777777" w:rsidTr="006E5C07">
        <w:tc>
          <w:tcPr>
            <w:tcW w:w="2019" w:type="dxa"/>
            <w:tcMar>
              <w:top w:w="0" w:type="dxa"/>
              <w:left w:w="108" w:type="dxa"/>
              <w:bottom w:w="0" w:type="dxa"/>
              <w:right w:w="108" w:type="dxa"/>
            </w:tcMar>
            <w:hideMark/>
          </w:tcPr>
          <w:p w14:paraId="4A1C0B23"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Foreign currency</w:t>
            </w:r>
          </w:p>
        </w:tc>
        <w:tc>
          <w:tcPr>
            <w:tcW w:w="521" w:type="dxa"/>
            <w:tcMar>
              <w:top w:w="0" w:type="dxa"/>
              <w:left w:w="108" w:type="dxa"/>
              <w:bottom w:w="0" w:type="dxa"/>
              <w:right w:w="108" w:type="dxa"/>
            </w:tcMar>
            <w:hideMark/>
          </w:tcPr>
          <w:p w14:paraId="30E411B6" w14:textId="77777777" w:rsidR="006E5C07" w:rsidRPr="006E5C07" w:rsidRDefault="006E5C07" w:rsidP="006E5C07">
            <w:pPr>
              <w:spacing w:after="0" w:line="240" w:lineRule="auto"/>
              <w:jc w:val="right"/>
              <w:rPr>
                <w:rFonts w:ascii="Calibri" w:eastAsia="Times New Roman" w:hAnsi="Calibri" w:cs="Calibri"/>
              </w:rPr>
            </w:pPr>
          </w:p>
        </w:tc>
        <w:tc>
          <w:tcPr>
            <w:tcW w:w="68" w:type="dxa"/>
            <w:tcMar>
              <w:top w:w="0" w:type="dxa"/>
              <w:left w:w="108" w:type="dxa"/>
              <w:bottom w:w="0" w:type="dxa"/>
              <w:right w:w="108" w:type="dxa"/>
            </w:tcMar>
            <w:hideMark/>
          </w:tcPr>
          <w:p w14:paraId="38883E59" w14:textId="77777777" w:rsidR="006E5C07" w:rsidRPr="006E5C07" w:rsidRDefault="006E5C07" w:rsidP="006E5C07">
            <w:pPr>
              <w:spacing w:after="0" w:line="240" w:lineRule="auto"/>
              <w:jc w:val="right"/>
              <w:rPr>
                <w:rFonts w:ascii="Calibri" w:eastAsia="Times New Roman" w:hAnsi="Calibri" w:cs="Calibri"/>
              </w:rPr>
            </w:pPr>
          </w:p>
        </w:tc>
        <w:tc>
          <w:tcPr>
            <w:tcW w:w="776" w:type="dxa"/>
            <w:tcMar>
              <w:top w:w="0" w:type="dxa"/>
              <w:left w:w="108" w:type="dxa"/>
              <w:bottom w:w="0" w:type="dxa"/>
              <w:right w:w="108" w:type="dxa"/>
            </w:tcMar>
            <w:hideMark/>
          </w:tcPr>
          <w:p w14:paraId="5DCC9DE5" w14:textId="77777777" w:rsidR="006E5C07" w:rsidRPr="006E5C07" w:rsidRDefault="006E5C07" w:rsidP="006E5C07">
            <w:pPr>
              <w:spacing w:after="0" w:line="240" w:lineRule="auto"/>
              <w:jc w:val="right"/>
              <w:rPr>
                <w:rFonts w:ascii="Calibri" w:eastAsia="Times New Roman" w:hAnsi="Calibri" w:cs="Calibri"/>
              </w:rPr>
            </w:pPr>
          </w:p>
        </w:tc>
        <w:tc>
          <w:tcPr>
            <w:tcW w:w="67" w:type="dxa"/>
            <w:tcMar>
              <w:top w:w="0" w:type="dxa"/>
              <w:left w:w="108" w:type="dxa"/>
              <w:bottom w:w="0" w:type="dxa"/>
              <w:right w:w="108" w:type="dxa"/>
            </w:tcMar>
            <w:hideMark/>
          </w:tcPr>
          <w:p w14:paraId="0DD23190" w14:textId="77777777" w:rsidR="006E5C07" w:rsidRPr="006E5C07" w:rsidRDefault="006E5C07" w:rsidP="006E5C07">
            <w:pPr>
              <w:spacing w:after="0" w:line="240" w:lineRule="auto"/>
              <w:jc w:val="right"/>
              <w:rPr>
                <w:rFonts w:ascii="Calibri" w:eastAsia="Times New Roman" w:hAnsi="Calibri" w:cs="Calibri"/>
              </w:rPr>
            </w:pPr>
          </w:p>
        </w:tc>
        <w:tc>
          <w:tcPr>
            <w:tcW w:w="635" w:type="dxa"/>
            <w:tcMar>
              <w:top w:w="0" w:type="dxa"/>
              <w:left w:w="108" w:type="dxa"/>
              <w:bottom w:w="0" w:type="dxa"/>
              <w:right w:w="108" w:type="dxa"/>
            </w:tcMar>
            <w:hideMark/>
          </w:tcPr>
          <w:p w14:paraId="53C40CD8" w14:textId="77777777" w:rsidR="006E5C07" w:rsidRPr="006E5C07" w:rsidRDefault="006E5C07" w:rsidP="006E5C07">
            <w:pPr>
              <w:spacing w:after="0" w:line="240" w:lineRule="auto"/>
              <w:jc w:val="right"/>
              <w:rPr>
                <w:rFonts w:ascii="Calibri" w:eastAsia="Times New Roman" w:hAnsi="Calibri" w:cs="Calibri"/>
              </w:rPr>
            </w:pPr>
          </w:p>
        </w:tc>
        <w:tc>
          <w:tcPr>
            <w:tcW w:w="67" w:type="dxa"/>
            <w:tcMar>
              <w:top w:w="0" w:type="dxa"/>
              <w:left w:w="108" w:type="dxa"/>
              <w:bottom w:w="0" w:type="dxa"/>
              <w:right w:w="108" w:type="dxa"/>
            </w:tcMar>
            <w:hideMark/>
          </w:tcPr>
          <w:p w14:paraId="232DA8C4" w14:textId="77777777" w:rsidR="006E5C07" w:rsidRPr="006E5C07" w:rsidRDefault="006E5C07" w:rsidP="006E5C07">
            <w:pPr>
              <w:spacing w:after="0" w:line="240" w:lineRule="auto"/>
              <w:jc w:val="right"/>
              <w:rPr>
                <w:rFonts w:ascii="Calibri" w:eastAsia="Times New Roman" w:hAnsi="Calibri" w:cs="Calibri"/>
              </w:rPr>
            </w:pPr>
          </w:p>
        </w:tc>
        <w:tc>
          <w:tcPr>
            <w:tcW w:w="777" w:type="dxa"/>
            <w:tcMar>
              <w:top w:w="0" w:type="dxa"/>
              <w:left w:w="108" w:type="dxa"/>
              <w:bottom w:w="0" w:type="dxa"/>
              <w:right w:w="108" w:type="dxa"/>
            </w:tcMar>
            <w:hideMark/>
          </w:tcPr>
          <w:p w14:paraId="29B02911" w14:textId="77777777" w:rsidR="006E5C07" w:rsidRPr="006E5C07" w:rsidRDefault="006E5C07" w:rsidP="006E5C07">
            <w:pPr>
              <w:spacing w:after="0" w:line="240" w:lineRule="auto"/>
              <w:jc w:val="right"/>
              <w:rPr>
                <w:rFonts w:ascii="Calibri" w:eastAsia="Times New Roman" w:hAnsi="Calibri" w:cs="Calibri"/>
              </w:rPr>
            </w:pPr>
          </w:p>
        </w:tc>
        <w:tc>
          <w:tcPr>
            <w:tcW w:w="67" w:type="dxa"/>
            <w:tcMar>
              <w:top w:w="0" w:type="dxa"/>
              <w:left w:w="108" w:type="dxa"/>
              <w:bottom w:w="0" w:type="dxa"/>
              <w:right w:w="108" w:type="dxa"/>
            </w:tcMar>
            <w:hideMark/>
          </w:tcPr>
          <w:p w14:paraId="66243E0D"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176D6080" w14:textId="77777777" w:rsidR="006E5C07" w:rsidRPr="006E5C07" w:rsidRDefault="006E5C07" w:rsidP="006E5C07">
            <w:pPr>
              <w:spacing w:after="0" w:line="240" w:lineRule="auto"/>
              <w:jc w:val="right"/>
              <w:rPr>
                <w:rFonts w:ascii="Calibri" w:eastAsia="Times New Roman" w:hAnsi="Calibri" w:cs="Calibri"/>
              </w:rPr>
            </w:pPr>
          </w:p>
        </w:tc>
        <w:tc>
          <w:tcPr>
            <w:tcW w:w="68" w:type="dxa"/>
            <w:tcMar>
              <w:top w:w="0" w:type="dxa"/>
              <w:left w:w="108" w:type="dxa"/>
              <w:bottom w:w="0" w:type="dxa"/>
              <w:right w:w="108" w:type="dxa"/>
            </w:tcMar>
            <w:hideMark/>
          </w:tcPr>
          <w:p w14:paraId="5A1BD7EE" w14:textId="77777777" w:rsidR="006E5C07" w:rsidRPr="006E5C07" w:rsidRDefault="006E5C07" w:rsidP="006E5C07">
            <w:pPr>
              <w:spacing w:after="0" w:line="240" w:lineRule="auto"/>
              <w:jc w:val="right"/>
              <w:rPr>
                <w:rFonts w:ascii="Calibri" w:eastAsia="Times New Roman" w:hAnsi="Calibri" w:cs="Calibri"/>
              </w:rPr>
            </w:pPr>
          </w:p>
        </w:tc>
        <w:tc>
          <w:tcPr>
            <w:tcW w:w="776" w:type="dxa"/>
            <w:tcMar>
              <w:top w:w="0" w:type="dxa"/>
              <w:left w:w="108" w:type="dxa"/>
              <w:bottom w:w="0" w:type="dxa"/>
              <w:right w:w="108" w:type="dxa"/>
            </w:tcMar>
            <w:hideMark/>
          </w:tcPr>
          <w:p w14:paraId="79379F99"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0DA19CBC" w14:textId="77777777" w:rsidTr="006E5C07">
        <w:tc>
          <w:tcPr>
            <w:tcW w:w="2019" w:type="dxa"/>
            <w:tcMar>
              <w:top w:w="0" w:type="dxa"/>
              <w:left w:w="108" w:type="dxa"/>
              <w:bottom w:w="0" w:type="dxa"/>
              <w:right w:w="108" w:type="dxa"/>
            </w:tcMar>
            <w:hideMark/>
          </w:tcPr>
          <w:p w14:paraId="27A9210C"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translation</w:t>
            </w:r>
          </w:p>
        </w:tc>
        <w:tc>
          <w:tcPr>
            <w:tcW w:w="521" w:type="dxa"/>
            <w:tcMar>
              <w:top w:w="0" w:type="dxa"/>
              <w:left w:w="108" w:type="dxa"/>
              <w:bottom w:w="0" w:type="dxa"/>
              <w:right w:w="108" w:type="dxa"/>
            </w:tcMar>
            <w:hideMark/>
          </w:tcPr>
          <w:p w14:paraId="1E6580A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8" w:type="dxa"/>
            <w:tcMar>
              <w:top w:w="0" w:type="dxa"/>
              <w:left w:w="108" w:type="dxa"/>
              <w:bottom w:w="0" w:type="dxa"/>
              <w:right w:w="108" w:type="dxa"/>
            </w:tcMar>
            <w:hideMark/>
          </w:tcPr>
          <w:p w14:paraId="370588D2" w14:textId="77777777" w:rsidR="006E5C07" w:rsidRPr="006E5C07" w:rsidRDefault="006E5C07" w:rsidP="006E5C07">
            <w:pPr>
              <w:spacing w:after="0" w:line="240" w:lineRule="auto"/>
              <w:jc w:val="right"/>
              <w:rPr>
                <w:rFonts w:ascii="Calibri" w:eastAsia="Times New Roman" w:hAnsi="Calibri" w:cs="Calibri"/>
              </w:rPr>
            </w:pPr>
          </w:p>
        </w:tc>
        <w:tc>
          <w:tcPr>
            <w:tcW w:w="776" w:type="dxa"/>
            <w:tcMar>
              <w:top w:w="0" w:type="dxa"/>
              <w:left w:w="108" w:type="dxa"/>
              <w:bottom w:w="0" w:type="dxa"/>
              <w:right w:w="108" w:type="dxa"/>
            </w:tcMar>
            <w:hideMark/>
          </w:tcPr>
          <w:p w14:paraId="6A5EA75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7" w:type="dxa"/>
            <w:tcMar>
              <w:top w:w="0" w:type="dxa"/>
              <w:left w:w="108" w:type="dxa"/>
              <w:bottom w:w="0" w:type="dxa"/>
              <w:right w:w="108" w:type="dxa"/>
            </w:tcMar>
            <w:hideMark/>
          </w:tcPr>
          <w:p w14:paraId="4C45D61F" w14:textId="77777777" w:rsidR="006E5C07" w:rsidRPr="006E5C07" w:rsidRDefault="006E5C07" w:rsidP="006E5C07">
            <w:pPr>
              <w:spacing w:after="0" w:line="240" w:lineRule="auto"/>
              <w:jc w:val="right"/>
              <w:rPr>
                <w:rFonts w:ascii="Calibri" w:eastAsia="Times New Roman" w:hAnsi="Calibri" w:cs="Calibri"/>
              </w:rPr>
            </w:pPr>
          </w:p>
        </w:tc>
        <w:tc>
          <w:tcPr>
            <w:tcW w:w="635" w:type="dxa"/>
            <w:tcMar>
              <w:top w:w="0" w:type="dxa"/>
              <w:left w:w="108" w:type="dxa"/>
              <w:bottom w:w="0" w:type="dxa"/>
              <w:right w:w="108" w:type="dxa"/>
            </w:tcMar>
            <w:hideMark/>
          </w:tcPr>
          <w:p w14:paraId="2E343B3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7" w:type="dxa"/>
            <w:tcMar>
              <w:top w:w="0" w:type="dxa"/>
              <w:left w:w="108" w:type="dxa"/>
              <w:bottom w:w="0" w:type="dxa"/>
              <w:right w:w="108" w:type="dxa"/>
            </w:tcMar>
            <w:hideMark/>
          </w:tcPr>
          <w:p w14:paraId="24D1035A" w14:textId="77777777" w:rsidR="006E5C07" w:rsidRPr="006E5C07" w:rsidRDefault="006E5C07" w:rsidP="006E5C07">
            <w:pPr>
              <w:spacing w:after="0" w:line="240" w:lineRule="auto"/>
              <w:jc w:val="right"/>
              <w:rPr>
                <w:rFonts w:ascii="Calibri" w:eastAsia="Times New Roman" w:hAnsi="Calibri" w:cs="Calibri"/>
              </w:rPr>
            </w:pPr>
          </w:p>
        </w:tc>
        <w:tc>
          <w:tcPr>
            <w:tcW w:w="777" w:type="dxa"/>
            <w:tcMar>
              <w:top w:w="0" w:type="dxa"/>
              <w:left w:w="108" w:type="dxa"/>
              <w:bottom w:w="0" w:type="dxa"/>
              <w:right w:w="108" w:type="dxa"/>
            </w:tcMar>
            <w:hideMark/>
          </w:tcPr>
          <w:p w14:paraId="017A610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(30)</w:t>
            </w:r>
          </w:p>
        </w:tc>
        <w:tc>
          <w:tcPr>
            <w:tcW w:w="67" w:type="dxa"/>
            <w:tcMar>
              <w:top w:w="0" w:type="dxa"/>
              <w:left w:w="108" w:type="dxa"/>
              <w:bottom w:w="0" w:type="dxa"/>
              <w:right w:w="108" w:type="dxa"/>
            </w:tcMar>
            <w:hideMark/>
          </w:tcPr>
          <w:p w14:paraId="4EE8E80A"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581A9EB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8" w:type="dxa"/>
            <w:tcMar>
              <w:top w:w="0" w:type="dxa"/>
              <w:left w:w="108" w:type="dxa"/>
              <w:bottom w:w="0" w:type="dxa"/>
              <w:right w:w="108" w:type="dxa"/>
            </w:tcMar>
            <w:hideMark/>
          </w:tcPr>
          <w:p w14:paraId="104720E2" w14:textId="77777777" w:rsidR="006E5C07" w:rsidRPr="006E5C07" w:rsidRDefault="006E5C07" w:rsidP="006E5C07">
            <w:pPr>
              <w:spacing w:after="0" w:line="240" w:lineRule="auto"/>
              <w:jc w:val="right"/>
              <w:rPr>
                <w:rFonts w:ascii="Calibri" w:eastAsia="Times New Roman" w:hAnsi="Calibri" w:cs="Calibri"/>
              </w:rPr>
            </w:pPr>
          </w:p>
        </w:tc>
        <w:tc>
          <w:tcPr>
            <w:tcW w:w="776" w:type="dxa"/>
            <w:tcMar>
              <w:top w:w="0" w:type="dxa"/>
              <w:left w:w="108" w:type="dxa"/>
              <w:bottom w:w="0" w:type="dxa"/>
              <w:right w:w="108" w:type="dxa"/>
            </w:tcMar>
            <w:hideMark/>
          </w:tcPr>
          <w:p w14:paraId="13C5282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(30)</w:t>
            </w:r>
          </w:p>
        </w:tc>
      </w:tr>
      <w:tr w:rsidR="006E5C07" w:rsidRPr="006E5C07" w14:paraId="08773DDA" w14:textId="77777777" w:rsidTr="006E5C07">
        <w:tc>
          <w:tcPr>
            <w:tcW w:w="2019" w:type="dxa"/>
            <w:tcMar>
              <w:top w:w="0" w:type="dxa"/>
              <w:left w:w="108" w:type="dxa"/>
              <w:bottom w:w="0" w:type="dxa"/>
              <w:right w:w="108" w:type="dxa"/>
            </w:tcMar>
            <w:hideMark/>
          </w:tcPr>
          <w:p w14:paraId="0C069FDB" w14:textId="77777777" w:rsidR="006E5C07" w:rsidRPr="006E5C07" w:rsidRDefault="006E5C07" w:rsidP="006E5C07">
            <w:pPr>
              <w:spacing w:after="0" w:line="240" w:lineRule="auto"/>
              <w:ind w:right="-249"/>
              <w:rPr>
                <w:rFonts w:ascii="Calibri" w:eastAsia="Times New Roman" w:hAnsi="Calibri" w:cs="Calibri"/>
              </w:rPr>
            </w:pPr>
            <w:r w:rsidRPr="006E5C07">
              <w:rPr>
                <w:rFonts w:ascii="Gill Sans MT" w:eastAsia="Times New Roman" w:hAnsi="Gill Sans MT" w:cs="Calibri"/>
                <w:sz w:val="18"/>
                <w:szCs w:val="18"/>
              </w:rPr>
              <w:t>Loss for the period</w:t>
            </w:r>
          </w:p>
        </w:tc>
        <w:tc>
          <w:tcPr>
            <w:tcW w:w="521" w:type="dxa"/>
            <w:tcBorders>
              <w:top w:val="nil"/>
              <w:left w:val="nil"/>
              <w:bottom w:val="single" w:sz="8" w:space="0" w:color="auto"/>
              <w:right w:val="nil"/>
            </w:tcBorders>
            <w:tcMar>
              <w:top w:w="0" w:type="dxa"/>
              <w:left w:w="108" w:type="dxa"/>
              <w:bottom w:w="0" w:type="dxa"/>
              <w:right w:w="108" w:type="dxa"/>
            </w:tcMar>
            <w:hideMark/>
          </w:tcPr>
          <w:p w14:paraId="752F59F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8" w:type="dxa"/>
            <w:tcMar>
              <w:top w:w="0" w:type="dxa"/>
              <w:left w:w="108" w:type="dxa"/>
              <w:bottom w:w="0" w:type="dxa"/>
              <w:right w:w="108" w:type="dxa"/>
            </w:tcMar>
            <w:hideMark/>
          </w:tcPr>
          <w:p w14:paraId="349A5409" w14:textId="77777777" w:rsidR="006E5C07" w:rsidRPr="006E5C07" w:rsidRDefault="006E5C07" w:rsidP="006E5C07">
            <w:pPr>
              <w:spacing w:after="0" w:line="240" w:lineRule="auto"/>
              <w:jc w:val="right"/>
              <w:rPr>
                <w:rFonts w:ascii="Calibri" w:eastAsia="Times New Roman" w:hAnsi="Calibri" w:cs="Calibri"/>
              </w:rPr>
            </w:pPr>
          </w:p>
        </w:tc>
        <w:tc>
          <w:tcPr>
            <w:tcW w:w="776" w:type="dxa"/>
            <w:tcBorders>
              <w:top w:val="nil"/>
              <w:left w:val="nil"/>
              <w:bottom w:val="single" w:sz="8" w:space="0" w:color="auto"/>
              <w:right w:val="nil"/>
            </w:tcBorders>
            <w:tcMar>
              <w:top w:w="0" w:type="dxa"/>
              <w:left w:w="108" w:type="dxa"/>
              <w:bottom w:w="0" w:type="dxa"/>
              <w:right w:w="108" w:type="dxa"/>
            </w:tcMar>
            <w:hideMark/>
          </w:tcPr>
          <w:p w14:paraId="1F969CE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7" w:type="dxa"/>
            <w:tcMar>
              <w:top w:w="0" w:type="dxa"/>
              <w:left w:w="108" w:type="dxa"/>
              <w:bottom w:w="0" w:type="dxa"/>
              <w:right w:w="108" w:type="dxa"/>
            </w:tcMar>
            <w:hideMark/>
          </w:tcPr>
          <w:p w14:paraId="700D6C1B" w14:textId="77777777" w:rsidR="006E5C07" w:rsidRPr="006E5C07" w:rsidRDefault="006E5C07" w:rsidP="006E5C07">
            <w:pPr>
              <w:spacing w:after="0" w:line="240" w:lineRule="auto"/>
              <w:jc w:val="right"/>
              <w:rPr>
                <w:rFonts w:ascii="Calibri" w:eastAsia="Times New Roman" w:hAnsi="Calibri" w:cs="Calibri"/>
              </w:rPr>
            </w:pPr>
          </w:p>
        </w:tc>
        <w:tc>
          <w:tcPr>
            <w:tcW w:w="635" w:type="dxa"/>
            <w:tcBorders>
              <w:top w:val="nil"/>
              <w:left w:val="nil"/>
              <w:bottom w:val="single" w:sz="8" w:space="0" w:color="auto"/>
              <w:right w:val="nil"/>
            </w:tcBorders>
            <w:tcMar>
              <w:top w:w="0" w:type="dxa"/>
              <w:left w:w="108" w:type="dxa"/>
              <w:bottom w:w="0" w:type="dxa"/>
              <w:right w:w="108" w:type="dxa"/>
            </w:tcMar>
            <w:hideMark/>
          </w:tcPr>
          <w:p w14:paraId="4DF9382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7" w:type="dxa"/>
            <w:tcMar>
              <w:top w:w="0" w:type="dxa"/>
              <w:left w:w="108" w:type="dxa"/>
              <w:bottom w:w="0" w:type="dxa"/>
              <w:right w:w="108" w:type="dxa"/>
            </w:tcMar>
            <w:hideMark/>
          </w:tcPr>
          <w:p w14:paraId="6CEB0840" w14:textId="77777777" w:rsidR="006E5C07" w:rsidRPr="006E5C07" w:rsidRDefault="006E5C07" w:rsidP="006E5C07">
            <w:pPr>
              <w:spacing w:after="0" w:line="240" w:lineRule="auto"/>
              <w:jc w:val="right"/>
              <w:rPr>
                <w:rFonts w:ascii="Calibri" w:eastAsia="Times New Roman" w:hAnsi="Calibri" w:cs="Calibri"/>
              </w:rPr>
            </w:pPr>
          </w:p>
        </w:tc>
        <w:tc>
          <w:tcPr>
            <w:tcW w:w="777" w:type="dxa"/>
            <w:tcBorders>
              <w:top w:val="nil"/>
              <w:left w:val="nil"/>
              <w:bottom w:val="single" w:sz="8" w:space="0" w:color="auto"/>
              <w:right w:val="nil"/>
            </w:tcBorders>
            <w:tcMar>
              <w:top w:w="0" w:type="dxa"/>
              <w:left w:w="108" w:type="dxa"/>
              <w:bottom w:w="0" w:type="dxa"/>
              <w:right w:w="108" w:type="dxa"/>
            </w:tcMar>
            <w:hideMark/>
          </w:tcPr>
          <w:p w14:paraId="0FA87D4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(3,356)</w:t>
            </w:r>
          </w:p>
        </w:tc>
        <w:tc>
          <w:tcPr>
            <w:tcW w:w="67" w:type="dxa"/>
            <w:tcMar>
              <w:top w:w="0" w:type="dxa"/>
              <w:left w:w="108" w:type="dxa"/>
              <w:bottom w:w="0" w:type="dxa"/>
              <w:right w:w="108" w:type="dxa"/>
            </w:tcMar>
            <w:hideMark/>
          </w:tcPr>
          <w:p w14:paraId="4DDAFAB6" w14:textId="77777777" w:rsidR="006E5C07" w:rsidRPr="006E5C07" w:rsidRDefault="006E5C07" w:rsidP="006E5C07">
            <w:pPr>
              <w:spacing w:after="0" w:line="240" w:lineRule="auto"/>
              <w:jc w:val="right"/>
              <w:rPr>
                <w:rFonts w:ascii="Calibri" w:eastAsia="Times New Roman" w:hAnsi="Calibri" w:cs="Calibri"/>
              </w:rPr>
            </w:pPr>
          </w:p>
        </w:tc>
        <w:tc>
          <w:tcPr>
            <w:tcW w:w="918" w:type="dxa"/>
            <w:tcBorders>
              <w:top w:val="nil"/>
              <w:left w:val="nil"/>
              <w:bottom w:val="single" w:sz="8" w:space="0" w:color="auto"/>
              <w:right w:val="nil"/>
            </w:tcBorders>
            <w:tcMar>
              <w:top w:w="0" w:type="dxa"/>
              <w:left w:w="108" w:type="dxa"/>
              <w:bottom w:w="0" w:type="dxa"/>
              <w:right w:w="108" w:type="dxa"/>
            </w:tcMar>
            <w:hideMark/>
          </w:tcPr>
          <w:p w14:paraId="64D103D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(239)</w:t>
            </w:r>
          </w:p>
        </w:tc>
        <w:tc>
          <w:tcPr>
            <w:tcW w:w="68" w:type="dxa"/>
            <w:tcMar>
              <w:top w:w="0" w:type="dxa"/>
              <w:left w:w="108" w:type="dxa"/>
              <w:bottom w:w="0" w:type="dxa"/>
              <w:right w:w="108" w:type="dxa"/>
            </w:tcMar>
            <w:hideMark/>
          </w:tcPr>
          <w:p w14:paraId="418E16C4" w14:textId="77777777" w:rsidR="006E5C07" w:rsidRPr="006E5C07" w:rsidRDefault="006E5C07" w:rsidP="006E5C07">
            <w:pPr>
              <w:spacing w:after="0" w:line="240" w:lineRule="auto"/>
              <w:jc w:val="right"/>
              <w:rPr>
                <w:rFonts w:ascii="Calibri" w:eastAsia="Times New Roman" w:hAnsi="Calibri" w:cs="Calibri"/>
              </w:rPr>
            </w:pPr>
          </w:p>
        </w:tc>
        <w:tc>
          <w:tcPr>
            <w:tcW w:w="776" w:type="dxa"/>
            <w:tcBorders>
              <w:top w:val="nil"/>
              <w:left w:val="nil"/>
              <w:bottom w:val="single" w:sz="8" w:space="0" w:color="auto"/>
              <w:right w:val="nil"/>
            </w:tcBorders>
            <w:tcMar>
              <w:top w:w="0" w:type="dxa"/>
              <w:left w:w="108" w:type="dxa"/>
              <w:bottom w:w="0" w:type="dxa"/>
              <w:right w:w="108" w:type="dxa"/>
            </w:tcMar>
            <w:hideMark/>
          </w:tcPr>
          <w:p w14:paraId="030C431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color w:val="000000"/>
                <w:sz w:val="18"/>
                <w:szCs w:val="18"/>
              </w:rPr>
              <w:t>(3,595)</w:t>
            </w:r>
          </w:p>
        </w:tc>
      </w:tr>
      <w:tr w:rsidR="006E5C07" w:rsidRPr="006E5C07" w14:paraId="447B16C0" w14:textId="77777777" w:rsidTr="006E5C07">
        <w:tc>
          <w:tcPr>
            <w:tcW w:w="2019" w:type="dxa"/>
            <w:tcMar>
              <w:top w:w="0" w:type="dxa"/>
              <w:left w:w="108" w:type="dxa"/>
              <w:bottom w:w="0" w:type="dxa"/>
              <w:right w:w="108" w:type="dxa"/>
            </w:tcMar>
            <w:hideMark/>
          </w:tcPr>
          <w:p w14:paraId="618C7BE8"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Total comprehensive</w:t>
            </w:r>
          </w:p>
        </w:tc>
        <w:tc>
          <w:tcPr>
            <w:tcW w:w="521" w:type="dxa"/>
            <w:tcBorders>
              <w:top w:val="nil"/>
              <w:left w:val="nil"/>
              <w:bottom w:val="nil"/>
              <w:right w:val="nil"/>
            </w:tcBorders>
            <w:tcMar>
              <w:top w:w="0" w:type="dxa"/>
              <w:left w:w="108" w:type="dxa"/>
              <w:bottom w:w="0" w:type="dxa"/>
              <w:right w:w="108" w:type="dxa"/>
            </w:tcMar>
            <w:hideMark/>
          </w:tcPr>
          <w:p w14:paraId="657A6E74"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68" w:type="dxa"/>
            <w:tcMar>
              <w:top w:w="0" w:type="dxa"/>
              <w:left w:w="108" w:type="dxa"/>
              <w:bottom w:w="0" w:type="dxa"/>
              <w:right w:w="108" w:type="dxa"/>
            </w:tcMar>
            <w:hideMark/>
          </w:tcPr>
          <w:p w14:paraId="24EC3A60" w14:textId="77777777" w:rsidR="006E5C07" w:rsidRPr="006E5C07" w:rsidRDefault="006E5C07" w:rsidP="006E5C07">
            <w:pPr>
              <w:spacing w:after="0" w:line="240" w:lineRule="auto"/>
              <w:jc w:val="right"/>
              <w:rPr>
                <w:rFonts w:ascii="Calibri" w:eastAsia="Times New Roman" w:hAnsi="Calibri" w:cs="Calibri"/>
              </w:rPr>
            </w:pPr>
          </w:p>
        </w:tc>
        <w:tc>
          <w:tcPr>
            <w:tcW w:w="776" w:type="dxa"/>
            <w:tcBorders>
              <w:top w:val="nil"/>
              <w:left w:val="nil"/>
              <w:bottom w:val="nil"/>
              <w:right w:val="nil"/>
            </w:tcBorders>
            <w:tcMar>
              <w:top w:w="0" w:type="dxa"/>
              <w:left w:w="108" w:type="dxa"/>
              <w:bottom w:w="0" w:type="dxa"/>
              <w:right w:w="108" w:type="dxa"/>
            </w:tcMar>
            <w:hideMark/>
          </w:tcPr>
          <w:p w14:paraId="15882D60"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67" w:type="dxa"/>
            <w:tcMar>
              <w:top w:w="0" w:type="dxa"/>
              <w:left w:w="108" w:type="dxa"/>
              <w:bottom w:w="0" w:type="dxa"/>
              <w:right w:w="108" w:type="dxa"/>
            </w:tcMar>
            <w:hideMark/>
          </w:tcPr>
          <w:p w14:paraId="24416DB4" w14:textId="77777777" w:rsidR="006E5C07" w:rsidRPr="006E5C07" w:rsidRDefault="006E5C07" w:rsidP="006E5C07">
            <w:pPr>
              <w:spacing w:after="0" w:line="240" w:lineRule="auto"/>
              <w:jc w:val="right"/>
              <w:rPr>
                <w:rFonts w:ascii="Calibri" w:eastAsia="Times New Roman" w:hAnsi="Calibri" w:cs="Calibri"/>
              </w:rPr>
            </w:pPr>
          </w:p>
        </w:tc>
        <w:tc>
          <w:tcPr>
            <w:tcW w:w="635" w:type="dxa"/>
            <w:tcBorders>
              <w:top w:val="nil"/>
              <w:left w:val="nil"/>
              <w:bottom w:val="nil"/>
              <w:right w:val="nil"/>
            </w:tcBorders>
            <w:tcMar>
              <w:top w:w="0" w:type="dxa"/>
              <w:left w:w="108" w:type="dxa"/>
              <w:bottom w:w="0" w:type="dxa"/>
              <w:right w:w="108" w:type="dxa"/>
            </w:tcMar>
            <w:hideMark/>
          </w:tcPr>
          <w:p w14:paraId="7D1A6435"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67" w:type="dxa"/>
            <w:tcMar>
              <w:top w:w="0" w:type="dxa"/>
              <w:left w:w="108" w:type="dxa"/>
              <w:bottom w:w="0" w:type="dxa"/>
              <w:right w:w="108" w:type="dxa"/>
            </w:tcMar>
            <w:hideMark/>
          </w:tcPr>
          <w:p w14:paraId="788352F1" w14:textId="77777777" w:rsidR="006E5C07" w:rsidRPr="006E5C07" w:rsidRDefault="006E5C07" w:rsidP="006E5C07">
            <w:pPr>
              <w:spacing w:after="0" w:line="240" w:lineRule="auto"/>
              <w:jc w:val="right"/>
              <w:rPr>
                <w:rFonts w:ascii="Calibri" w:eastAsia="Times New Roman" w:hAnsi="Calibri" w:cs="Calibri"/>
              </w:rPr>
            </w:pPr>
          </w:p>
        </w:tc>
        <w:tc>
          <w:tcPr>
            <w:tcW w:w="777" w:type="dxa"/>
            <w:tcBorders>
              <w:top w:val="nil"/>
              <w:left w:val="nil"/>
              <w:bottom w:val="nil"/>
              <w:right w:val="nil"/>
            </w:tcBorders>
            <w:tcMar>
              <w:top w:w="0" w:type="dxa"/>
              <w:left w:w="108" w:type="dxa"/>
              <w:bottom w:w="0" w:type="dxa"/>
              <w:right w:w="108" w:type="dxa"/>
            </w:tcMar>
            <w:hideMark/>
          </w:tcPr>
          <w:p w14:paraId="6111D3F8"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(3,386)</w:t>
            </w:r>
          </w:p>
        </w:tc>
        <w:tc>
          <w:tcPr>
            <w:tcW w:w="67" w:type="dxa"/>
            <w:tcMar>
              <w:top w:w="0" w:type="dxa"/>
              <w:left w:w="108" w:type="dxa"/>
              <w:bottom w:w="0" w:type="dxa"/>
              <w:right w:w="108" w:type="dxa"/>
            </w:tcMar>
            <w:hideMark/>
          </w:tcPr>
          <w:p w14:paraId="03FDCB02" w14:textId="77777777" w:rsidR="006E5C07" w:rsidRPr="006E5C07" w:rsidRDefault="006E5C07" w:rsidP="006E5C07">
            <w:pPr>
              <w:spacing w:after="0" w:line="240" w:lineRule="auto"/>
              <w:jc w:val="right"/>
              <w:rPr>
                <w:rFonts w:ascii="Calibri" w:eastAsia="Times New Roman" w:hAnsi="Calibri" w:cs="Calibri"/>
              </w:rPr>
            </w:pPr>
          </w:p>
        </w:tc>
        <w:tc>
          <w:tcPr>
            <w:tcW w:w="918" w:type="dxa"/>
            <w:tcBorders>
              <w:top w:val="nil"/>
              <w:left w:val="nil"/>
              <w:bottom w:val="nil"/>
              <w:right w:val="nil"/>
            </w:tcBorders>
            <w:tcMar>
              <w:top w:w="0" w:type="dxa"/>
              <w:left w:w="108" w:type="dxa"/>
              <w:bottom w:w="0" w:type="dxa"/>
              <w:right w:w="108" w:type="dxa"/>
            </w:tcMar>
            <w:hideMark/>
          </w:tcPr>
          <w:p w14:paraId="3A61AD25"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(239)</w:t>
            </w:r>
          </w:p>
        </w:tc>
        <w:tc>
          <w:tcPr>
            <w:tcW w:w="68" w:type="dxa"/>
            <w:tcMar>
              <w:top w:w="0" w:type="dxa"/>
              <w:left w:w="108" w:type="dxa"/>
              <w:bottom w:w="0" w:type="dxa"/>
              <w:right w:w="108" w:type="dxa"/>
            </w:tcMar>
            <w:hideMark/>
          </w:tcPr>
          <w:p w14:paraId="503C3EBB" w14:textId="77777777" w:rsidR="006E5C07" w:rsidRPr="006E5C07" w:rsidRDefault="006E5C07" w:rsidP="006E5C07">
            <w:pPr>
              <w:spacing w:after="0" w:line="240" w:lineRule="auto"/>
              <w:jc w:val="right"/>
              <w:rPr>
                <w:rFonts w:ascii="Calibri" w:eastAsia="Times New Roman" w:hAnsi="Calibri" w:cs="Calibri"/>
              </w:rPr>
            </w:pPr>
          </w:p>
        </w:tc>
        <w:tc>
          <w:tcPr>
            <w:tcW w:w="776" w:type="dxa"/>
            <w:tcBorders>
              <w:top w:val="nil"/>
              <w:left w:val="nil"/>
              <w:bottom w:val="nil"/>
              <w:right w:val="nil"/>
            </w:tcBorders>
            <w:tcMar>
              <w:top w:w="0" w:type="dxa"/>
              <w:left w:w="108" w:type="dxa"/>
              <w:bottom w:w="0" w:type="dxa"/>
              <w:right w:w="108" w:type="dxa"/>
            </w:tcMar>
            <w:hideMark/>
          </w:tcPr>
          <w:p w14:paraId="323F610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(3,625)</w:t>
            </w:r>
          </w:p>
        </w:tc>
      </w:tr>
      <w:tr w:rsidR="006E5C07" w:rsidRPr="006E5C07" w14:paraId="2153EB11" w14:textId="77777777" w:rsidTr="006E5C07">
        <w:tc>
          <w:tcPr>
            <w:tcW w:w="2019" w:type="dxa"/>
            <w:tcMar>
              <w:top w:w="0" w:type="dxa"/>
              <w:left w:w="108" w:type="dxa"/>
              <w:bottom w:w="0" w:type="dxa"/>
              <w:right w:w="108" w:type="dxa"/>
            </w:tcMar>
            <w:hideMark/>
          </w:tcPr>
          <w:p w14:paraId="41249439"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income</w:t>
            </w:r>
          </w:p>
        </w:tc>
        <w:tc>
          <w:tcPr>
            <w:tcW w:w="521" w:type="dxa"/>
            <w:tcMar>
              <w:top w:w="0" w:type="dxa"/>
              <w:left w:w="108" w:type="dxa"/>
              <w:bottom w:w="0" w:type="dxa"/>
              <w:right w:w="108" w:type="dxa"/>
            </w:tcMar>
            <w:hideMark/>
          </w:tcPr>
          <w:p w14:paraId="33572BB2" w14:textId="77777777" w:rsidR="006E5C07" w:rsidRPr="006E5C07" w:rsidRDefault="006E5C07" w:rsidP="006E5C07">
            <w:pPr>
              <w:spacing w:after="0" w:line="240" w:lineRule="auto"/>
              <w:jc w:val="right"/>
              <w:rPr>
                <w:rFonts w:ascii="Calibri" w:eastAsia="Times New Roman" w:hAnsi="Calibri" w:cs="Calibri"/>
                <w:b/>
                <w:bCs/>
              </w:rPr>
            </w:pPr>
          </w:p>
        </w:tc>
        <w:tc>
          <w:tcPr>
            <w:tcW w:w="68" w:type="dxa"/>
            <w:tcMar>
              <w:top w:w="0" w:type="dxa"/>
              <w:left w:w="108" w:type="dxa"/>
              <w:bottom w:w="0" w:type="dxa"/>
              <w:right w:w="108" w:type="dxa"/>
            </w:tcMar>
            <w:hideMark/>
          </w:tcPr>
          <w:p w14:paraId="32340F1A" w14:textId="77777777" w:rsidR="006E5C07" w:rsidRPr="006E5C07" w:rsidRDefault="006E5C07" w:rsidP="006E5C07">
            <w:pPr>
              <w:spacing w:after="0" w:line="240" w:lineRule="auto"/>
              <w:jc w:val="right"/>
              <w:rPr>
                <w:rFonts w:ascii="Calibri" w:eastAsia="Times New Roman" w:hAnsi="Calibri" w:cs="Calibri"/>
              </w:rPr>
            </w:pPr>
          </w:p>
        </w:tc>
        <w:tc>
          <w:tcPr>
            <w:tcW w:w="776" w:type="dxa"/>
            <w:tcMar>
              <w:top w:w="0" w:type="dxa"/>
              <w:left w:w="108" w:type="dxa"/>
              <w:bottom w:w="0" w:type="dxa"/>
              <w:right w:w="108" w:type="dxa"/>
            </w:tcMar>
            <w:hideMark/>
          </w:tcPr>
          <w:p w14:paraId="12341E35" w14:textId="77777777" w:rsidR="006E5C07" w:rsidRPr="006E5C07" w:rsidRDefault="006E5C07" w:rsidP="006E5C07">
            <w:pPr>
              <w:spacing w:after="0" w:line="240" w:lineRule="auto"/>
              <w:jc w:val="right"/>
              <w:rPr>
                <w:rFonts w:ascii="Calibri" w:eastAsia="Times New Roman" w:hAnsi="Calibri" w:cs="Calibri"/>
                <w:b/>
                <w:bCs/>
              </w:rPr>
            </w:pPr>
          </w:p>
        </w:tc>
        <w:tc>
          <w:tcPr>
            <w:tcW w:w="67" w:type="dxa"/>
            <w:tcMar>
              <w:top w:w="0" w:type="dxa"/>
              <w:left w:w="108" w:type="dxa"/>
              <w:bottom w:w="0" w:type="dxa"/>
              <w:right w:w="108" w:type="dxa"/>
            </w:tcMar>
            <w:hideMark/>
          </w:tcPr>
          <w:p w14:paraId="74778ED9" w14:textId="77777777" w:rsidR="006E5C07" w:rsidRPr="006E5C07" w:rsidRDefault="006E5C07" w:rsidP="006E5C07">
            <w:pPr>
              <w:spacing w:after="0" w:line="240" w:lineRule="auto"/>
              <w:jc w:val="right"/>
              <w:rPr>
                <w:rFonts w:ascii="Calibri" w:eastAsia="Times New Roman" w:hAnsi="Calibri" w:cs="Calibri"/>
              </w:rPr>
            </w:pPr>
          </w:p>
        </w:tc>
        <w:tc>
          <w:tcPr>
            <w:tcW w:w="635" w:type="dxa"/>
            <w:tcMar>
              <w:top w:w="0" w:type="dxa"/>
              <w:left w:w="108" w:type="dxa"/>
              <w:bottom w:w="0" w:type="dxa"/>
              <w:right w:w="108" w:type="dxa"/>
            </w:tcMar>
            <w:hideMark/>
          </w:tcPr>
          <w:p w14:paraId="29B0127F" w14:textId="77777777" w:rsidR="006E5C07" w:rsidRPr="006E5C07" w:rsidRDefault="006E5C07" w:rsidP="006E5C07">
            <w:pPr>
              <w:spacing w:after="0" w:line="240" w:lineRule="auto"/>
              <w:jc w:val="right"/>
              <w:rPr>
                <w:rFonts w:ascii="Calibri" w:eastAsia="Times New Roman" w:hAnsi="Calibri" w:cs="Calibri"/>
                <w:b/>
                <w:bCs/>
              </w:rPr>
            </w:pPr>
          </w:p>
        </w:tc>
        <w:tc>
          <w:tcPr>
            <w:tcW w:w="67" w:type="dxa"/>
            <w:tcMar>
              <w:top w:w="0" w:type="dxa"/>
              <w:left w:w="108" w:type="dxa"/>
              <w:bottom w:w="0" w:type="dxa"/>
              <w:right w:w="108" w:type="dxa"/>
            </w:tcMar>
            <w:hideMark/>
          </w:tcPr>
          <w:p w14:paraId="62C248C2" w14:textId="77777777" w:rsidR="006E5C07" w:rsidRPr="006E5C07" w:rsidRDefault="006E5C07" w:rsidP="006E5C07">
            <w:pPr>
              <w:spacing w:after="0" w:line="240" w:lineRule="auto"/>
              <w:jc w:val="right"/>
              <w:rPr>
                <w:rFonts w:ascii="Calibri" w:eastAsia="Times New Roman" w:hAnsi="Calibri" w:cs="Calibri"/>
              </w:rPr>
            </w:pPr>
          </w:p>
        </w:tc>
        <w:tc>
          <w:tcPr>
            <w:tcW w:w="777" w:type="dxa"/>
            <w:tcMar>
              <w:top w:w="0" w:type="dxa"/>
              <w:left w:w="108" w:type="dxa"/>
              <w:bottom w:w="0" w:type="dxa"/>
              <w:right w:w="108" w:type="dxa"/>
            </w:tcMar>
            <w:hideMark/>
          </w:tcPr>
          <w:p w14:paraId="526E2446" w14:textId="77777777" w:rsidR="006E5C07" w:rsidRPr="006E5C07" w:rsidRDefault="006E5C07" w:rsidP="006E5C07">
            <w:pPr>
              <w:spacing w:after="0" w:line="240" w:lineRule="auto"/>
              <w:jc w:val="right"/>
              <w:rPr>
                <w:rFonts w:ascii="Calibri" w:eastAsia="Times New Roman" w:hAnsi="Calibri" w:cs="Calibri"/>
                <w:b/>
                <w:bCs/>
              </w:rPr>
            </w:pPr>
          </w:p>
        </w:tc>
        <w:tc>
          <w:tcPr>
            <w:tcW w:w="67" w:type="dxa"/>
            <w:tcMar>
              <w:top w:w="0" w:type="dxa"/>
              <w:left w:w="108" w:type="dxa"/>
              <w:bottom w:w="0" w:type="dxa"/>
              <w:right w:w="108" w:type="dxa"/>
            </w:tcMar>
            <w:hideMark/>
          </w:tcPr>
          <w:p w14:paraId="66727D8D"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5147682F" w14:textId="77777777" w:rsidR="006E5C07" w:rsidRPr="006E5C07" w:rsidRDefault="006E5C07" w:rsidP="006E5C07">
            <w:pPr>
              <w:spacing w:after="0" w:line="240" w:lineRule="auto"/>
              <w:jc w:val="right"/>
              <w:rPr>
                <w:rFonts w:ascii="Calibri" w:eastAsia="Times New Roman" w:hAnsi="Calibri" w:cs="Calibri"/>
              </w:rPr>
            </w:pPr>
          </w:p>
        </w:tc>
        <w:tc>
          <w:tcPr>
            <w:tcW w:w="68" w:type="dxa"/>
            <w:tcMar>
              <w:top w:w="0" w:type="dxa"/>
              <w:left w:w="108" w:type="dxa"/>
              <w:bottom w:w="0" w:type="dxa"/>
              <w:right w:w="108" w:type="dxa"/>
            </w:tcMar>
            <w:hideMark/>
          </w:tcPr>
          <w:p w14:paraId="3B74A45F" w14:textId="77777777" w:rsidR="006E5C07" w:rsidRPr="006E5C07" w:rsidRDefault="006E5C07" w:rsidP="006E5C07">
            <w:pPr>
              <w:spacing w:after="0" w:line="240" w:lineRule="auto"/>
              <w:jc w:val="right"/>
              <w:rPr>
                <w:rFonts w:ascii="Calibri" w:eastAsia="Times New Roman" w:hAnsi="Calibri" w:cs="Calibri"/>
              </w:rPr>
            </w:pPr>
          </w:p>
        </w:tc>
        <w:tc>
          <w:tcPr>
            <w:tcW w:w="776" w:type="dxa"/>
            <w:tcMar>
              <w:top w:w="0" w:type="dxa"/>
              <w:left w:w="108" w:type="dxa"/>
              <w:bottom w:w="0" w:type="dxa"/>
              <w:right w:w="108" w:type="dxa"/>
            </w:tcMar>
            <w:hideMark/>
          </w:tcPr>
          <w:p w14:paraId="04D2AD6D"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381C9DE0" w14:textId="77777777" w:rsidTr="006E5C07">
        <w:tc>
          <w:tcPr>
            <w:tcW w:w="2019" w:type="dxa"/>
            <w:tcMar>
              <w:top w:w="0" w:type="dxa"/>
              <w:left w:w="108" w:type="dxa"/>
              <w:bottom w:w="0" w:type="dxa"/>
              <w:right w:w="108" w:type="dxa"/>
            </w:tcMar>
            <w:hideMark/>
          </w:tcPr>
          <w:p w14:paraId="2B6DB50F" w14:textId="77777777" w:rsidR="006E5C07" w:rsidRPr="006E5C07" w:rsidRDefault="006E5C07" w:rsidP="006E5C07">
            <w:pPr>
              <w:spacing w:after="0" w:line="240" w:lineRule="auto"/>
              <w:rPr>
                <w:rFonts w:ascii="Calibri" w:eastAsia="Times New Roman" w:hAnsi="Calibri" w:cs="Calibri"/>
                <w:b/>
                <w:bCs/>
              </w:rPr>
            </w:pPr>
          </w:p>
        </w:tc>
        <w:tc>
          <w:tcPr>
            <w:tcW w:w="521" w:type="dxa"/>
            <w:tcMar>
              <w:top w:w="0" w:type="dxa"/>
              <w:left w:w="108" w:type="dxa"/>
              <w:bottom w:w="0" w:type="dxa"/>
              <w:right w:w="108" w:type="dxa"/>
            </w:tcMar>
            <w:hideMark/>
          </w:tcPr>
          <w:p w14:paraId="2AC7B7AC" w14:textId="77777777" w:rsidR="006E5C07" w:rsidRPr="006E5C07" w:rsidRDefault="006E5C07" w:rsidP="006E5C07">
            <w:pPr>
              <w:spacing w:after="0" w:line="240" w:lineRule="auto"/>
              <w:jc w:val="right"/>
              <w:rPr>
                <w:rFonts w:ascii="Calibri" w:eastAsia="Times New Roman" w:hAnsi="Calibri" w:cs="Calibri"/>
                <w:b/>
                <w:bCs/>
              </w:rPr>
            </w:pPr>
          </w:p>
        </w:tc>
        <w:tc>
          <w:tcPr>
            <w:tcW w:w="68" w:type="dxa"/>
            <w:tcMar>
              <w:top w:w="0" w:type="dxa"/>
              <w:left w:w="108" w:type="dxa"/>
              <w:bottom w:w="0" w:type="dxa"/>
              <w:right w:w="108" w:type="dxa"/>
            </w:tcMar>
            <w:hideMark/>
          </w:tcPr>
          <w:p w14:paraId="4ADE164E" w14:textId="77777777" w:rsidR="006E5C07" w:rsidRPr="006E5C07" w:rsidRDefault="006E5C07" w:rsidP="006E5C07">
            <w:pPr>
              <w:spacing w:after="0" w:line="240" w:lineRule="auto"/>
              <w:jc w:val="right"/>
              <w:rPr>
                <w:rFonts w:ascii="Calibri" w:eastAsia="Times New Roman" w:hAnsi="Calibri" w:cs="Calibri"/>
              </w:rPr>
            </w:pPr>
          </w:p>
        </w:tc>
        <w:tc>
          <w:tcPr>
            <w:tcW w:w="776" w:type="dxa"/>
            <w:tcMar>
              <w:top w:w="0" w:type="dxa"/>
              <w:left w:w="108" w:type="dxa"/>
              <w:bottom w:w="0" w:type="dxa"/>
              <w:right w:w="108" w:type="dxa"/>
            </w:tcMar>
            <w:hideMark/>
          </w:tcPr>
          <w:p w14:paraId="450A797D" w14:textId="77777777" w:rsidR="006E5C07" w:rsidRPr="006E5C07" w:rsidRDefault="006E5C07" w:rsidP="006E5C07">
            <w:pPr>
              <w:spacing w:after="0" w:line="240" w:lineRule="auto"/>
              <w:jc w:val="right"/>
              <w:rPr>
                <w:rFonts w:ascii="Calibri" w:eastAsia="Times New Roman" w:hAnsi="Calibri" w:cs="Calibri"/>
                <w:b/>
                <w:bCs/>
              </w:rPr>
            </w:pPr>
          </w:p>
        </w:tc>
        <w:tc>
          <w:tcPr>
            <w:tcW w:w="67" w:type="dxa"/>
            <w:tcMar>
              <w:top w:w="0" w:type="dxa"/>
              <w:left w:w="108" w:type="dxa"/>
              <w:bottom w:w="0" w:type="dxa"/>
              <w:right w:w="108" w:type="dxa"/>
            </w:tcMar>
            <w:hideMark/>
          </w:tcPr>
          <w:p w14:paraId="3DE3915E" w14:textId="77777777" w:rsidR="006E5C07" w:rsidRPr="006E5C07" w:rsidRDefault="006E5C07" w:rsidP="006E5C07">
            <w:pPr>
              <w:spacing w:after="0" w:line="240" w:lineRule="auto"/>
              <w:jc w:val="right"/>
              <w:rPr>
                <w:rFonts w:ascii="Calibri" w:eastAsia="Times New Roman" w:hAnsi="Calibri" w:cs="Calibri"/>
              </w:rPr>
            </w:pPr>
          </w:p>
        </w:tc>
        <w:tc>
          <w:tcPr>
            <w:tcW w:w="635" w:type="dxa"/>
            <w:tcMar>
              <w:top w:w="0" w:type="dxa"/>
              <w:left w:w="108" w:type="dxa"/>
              <w:bottom w:w="0" w:type="dxa"/>
              <w:right w:w="108" w:type="dxa"/>
            </w:tcMar>
            <w:hideMark/>
          </w:tcPr>
          <w:p w14:paraId="5E4C9EA2" w14:textId="77777777" w:rsidR="006E5C07" w:rsidRPr="006E5C07" w:rsidRDefault="006E5C07" w:rsidP="006E5C07">
            <w:pPr>
              <w:spacing w:after="0" w:line="240" w:lineRule="auto"/>
              <w:jc w:val="right"/>
              <w:rPr>
                <w:rFonts w:ascii="Calibri" w:eastAsia="Times New Roman" w:hAnsi="Calibri" w:cs="Calibri"/>
                <w:b/>
                <w:bCs/>
              </w:rPr>
            </w:pPr>
          </w:p>
        </w:tc>
        <w:tc>
          <w:tcPr>
            <w:tcW w:w="67" w:type="dxa"/>
            <w:tcMar>
              <w:top w:w="0" w:type="dxa"/>
              <w:left w:w="108" w:type="dxa"/>
              <w:bottom w:w="0" w:type="dxa"/>
              <w:right w:w="108" w:type="dxa"/>
            </w:tcMar>
            <w:hideMark/>
          </w:tcPr>
          <w:p w14:paraId="3C6EA4BD" w14:textId="77777777" w:rsidR="006E5C07" w:rsidRPr="006E5C07" w:rsidRDefault="006E5C07" w:rsidP="006E5C07">
            <w:pPr>
              <w:spacing w:after="0" w:line="240" w:lineRule="auto"/>
              <w:jc w:val="right"/>
              <w:rPr>
                <w:rFonts w:ascii="Calibri" w:eastAsia="Times New Roman" w:hAnsi="Calibri" w:cs="Calibri"/>
              </w:rPr>
            </w:pPr>
          </w:p>
        </w:tc>
        <w:tc>
          <w:tcPr>
            <w:tcW w:w="777" w:type="dxa"/>
            <w:tcMar>
              <w:top w:w="0" w:type="dxa"/>
              <w:left w:w="108" w:type="dxa"/>
              <w:bottom w:w="0" w:type="dxa"/>
              <w:right w:w="108" w:type="dxa"/>
            </w:tcMar>
            <w:hideMark/>
          </w:tcPr>
          <w:p w14:paraId="7BB2B21C" w14:textId="77777777" w:rsidR="006E5C07" w:rsidRPr="006E5C07" w:rsidRDefault="006E5C07" w:rsidP="006E5C07">
            <w:pPr>
              <w:spacing w:after="0" w:line="240" w:lineRule="auto"/>
              <w:jc w:val="right"/>
              <w:rPr>
                <w:rFonts w:ascii="Calibri" w:eastAsia="Times New Roman" w:hAnsi="Calibri" w:cs="Calibri"/>
                <w:b/>
                <w:bCs/>
              </w:rPr>
            </w:pPr>
          </w:p>
        </w:tc>
        <w:tc>
          <w:tcPr>
            <w:tcW w:w="67" w:type="dxa"/>
            <w:tcMar>
              <w:top w:w="0" w:type="dxa"/>
              <w:left w:w="108" w:type="dxa"/>
              <w:bottom w:w="0" w:type="dxa"/>
              <w:right w:w="108" w:type="dxa"/>
            </w:tcMar>
            <w:hideMark/>
          </w:tcPr>
          <w:p w14:paraId="1167D901"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57FCC684" w14:textId="77777777" w:rsidR="006E5C07" w:rsidRPr="006E5C07" w:rsidRDefault="006E5C07" w:rsidP="006E5C07">
            <w:pPr>
              <w:spacing w:after="0" w:line="240" w:lineRule="auto"/>
              <w:jc w:val="right"/>
              <w:rPr>
                <w:rFonts w:ascii="Calibri" w:eastAsia="Times New Roman" w:hAnsi="Calibri" w:cs="Calibri"/>
              </w:rPr>
            </w:pPr>
          </w:p>
        </w:tc>
        <w:tc>
          <w:tcPr>
            <w:tcW w:w="68" w:type="dxa"/>
            <w:tcMar>
              <w:top w:w="0" w:type="dxa"/>
              <w:left w:w="108" w:type="dxa"/>
              <w:bottom w:w="0" w:type="dxa"/>
              <w:right w:w="108" w:type="dxa"/>
            </w:tcMar>
            <w:hideMark/>
          </w:tcPr>
          <w:p w14:paraId="175896EA" w14:textId="77777777" w:rsidR="006E5C07" w:rsidRPr="006E5C07" w:rsidRDefault="006E5C07" w:rsidP="006E5C07">
            <w:pPr>
              <w:spacing w:after="0" w:line="240" w:lineRule="auto"/>
              <w:jc w:val="right"/>
              <w:rPr>
                <w:rFonts w:ascii="Calibri" w:eastAsia="Times New Roman" w:hAnsi="Calibri" w:cs="Calibri"/>
              </w:rPr>
            </w:pPr>
          </w:p>
        </w:tc>
        <w:tc>
          <w:tcPr>
            <w:tcW w:w="776" w:type="dxa"/>
            <w:tcMar>
              <w:top w:w="0" w:type="dxa"/>
              <w:left w:w="108" w:type="dxa"/>
              <w:bottom w:w="0" w:type="dxa"/>
              <w:right w:w="108" w:type="dxa"/>
            </w:tcMar>
            <w:hideMark/>
          </w:tcPr>
          <w:p w14:paraId="3CA24422"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09EBA6A3" w14:textId="77777777" w:rsidTr="006E5C07">
        <w:tc>
          <w:tcPr>
            <w:tcW w:w="2019" w:type="dxa"/>
            <w:tcMar>
              <w:top w:w="0" w:type="dxa"/>
              <w:left w:w="108" w:type="dxa"/>
              <w:bottom w:w="0" w:type="dxa"/>
              <w:right w:w="108" w:type="dxa"/>
            </w:tcMar>
            <w:hideMark/>
          </w:tcPr>
          <w:p w14:paraId="3CE165D4"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Transactions with</w:t>
            </w:r>
          </w:p>
        </w:tc>
        <w:tc>
          <w:tcPr>
            <w:tcW w:w="521" w:type="dxa"/>
            <w:tcMar>
              <w:top w:w="0" w:type="dxa"/>
              <w:left w:w="108" w:type="dxa"/>
              <w:bottom w:w="0" w:type="dxa"/>
              <w:right w:w="108" w:type="dxa"/>
            </w:tcMar>
            <w:hideMark/>
          </w:tcPr>
          <w:p w14:paraId="2E0C4C7C" w14:textId="77777777" w:rsidR="006E5C07" w:rsidRPr="006E5C07" w:rsidRDefault="006E5C07" w:rsidP="006E5C07">
            <w:pPr>
              <w:spacing w:after="0" w:line="240" w:lineRule="auto"/>
              <w:jc w:val="right"/>
              <w:rPr>
                <w:rFonts w:ascii="Calibri" w:eastAsia="Times New Roman" w:hAnsi="Calibri" w:cs="Calibri"/>
                <w:b/>
                <w:bCs/>
              </w:rPr>
            </w:pPr>
          </w:p>
        </w:tc>
        <w:tc>
          <w:tcPr>
            <w:tcW w:w="68" w:type="dxa"/>
            <w:tcMar>
              <w:top w:w="0" w:type="dxa"/>
              <w:left w:w="108" w:type="dxa"/>
              <w:bottom w:w="0" w:type="dxa"/>
              <w:right w:w="108" w:type="dxa"/>
            </w:tcMar>
            <w:hideMark/>
          </w:tcPr>
          <w:p w14:paraId="28DEFC0D" w14:textId="77777777" w:rsidR="006E5C07" w:rsidRPr="006E5C07" w:rsidRDefault="006E5C07" w:rsidP="006E5C07">
            <w:pPr>
              <w:spacing w:after="0" w:line="240" w:lineRule="auto"/>
              <w:jc w:val="right"/>
              <w:rPr>
                <w:rFonts w:ascii="Calibri" w:eastAsia="Times New Roman" w:hAnsi="Calibri" w:cs="Calibri"/>
              </w:rPr>
            </w:pPr>
          </w:p>
        </w:tc>
        <w:tc>
          <w:tcPr>
            <w:tcW w:w="776" w:type="dxa"/>
            <w:tcMar>
              <w:top w:w="0" w:type="dxa"/>
              <w:left w:w="108" w:type="dxa"/>
              <w:bottom w:w="0" w:type="dxa"/>
              <w:right w:w="108" w:type="dxa"/>
            </w:tcMar>
            <w:hideMark/>
          </w:tcPr>
          <w:p w14:paraId="0D7851BF" w14:textId="77777777" w:rsidR="006E5C07" w:rsidRPr="006E5C07" w:rsidRDefault="006E5C07" w:rsidP="006E5C07">
            <w:pPr>
              <w:spacing w:after="0" w:line="240" w:lineRule="auto"/>
              <w:jc w:val="right"/>
              <w:rPr>
                <w:rFonts w:ascii="Calibri" w:eastAsia="Times New Roman" w:hAnsi="Calibri" w:cs="Calibri"/>
                <w:b/>
                <w:bCs/>
              </w:rPr>
            </w:pPr>
          </w:p>
        </w:tc>
        <w:tc>
          <w:tcPr>
            <w:tcW w:w="67" w:type="dxa"/>
            <w:tcMar>
              <w:top w:w="0" w:type="dxa"/>
              <w:left w:w="108" w:type="dxa"/>
              <w:bottom w:w="0" w:type="dxa"/>
              <w:right w:w="108" w:type="dxa"/>
            </w:tcMar>
            <w:hideMark/>
          </w:tcPr>
          <w:p w14:paraId="5BE4C9C0" w14:textId="77777777" w:rsidR="006E5C07" w:rsidRPr="006E5C07" w:rsidRDefault="006E5C07" w:rsidP="006E5C07">
            <w:pPr>
              <w:spacing w:after="0" w:line="240" w:lineRule="auto"/>
              <w:jc w:val="right"/>
              <w:rPr>
                <w:rFonts w:ascii="Calibri" w:eastAsia="Times New Roman" w:hAnsi="Calibri" w:cs="Calibri"/>
              </w:rPr>
            </w:pPr>
          </w:p>
        </w:tc>
        <w:tc>
          <w:tcPr>
            <w:tcW w:w="635" w:type="dxa"/>
            <w:tcMar>
              <w:top w:w="0" w:type="dxa"/>
              <w:left w:w="108" w:type="dxa"/>
              <w:bottom w:w="0" w:type="dxa"/>
              <w:right w:w="108" w:type="dxa"/>
            </w:tcMar>
            <w:hideMark/>
          </w:tcPr>
          <w:p w14:paraId="731CC1E2" w14:textId="77777777" w:rsidR="006E5C07" w:rsidRPr="006E5C07" w:rsidRDefault="006E5C07" w:rsidP="006E5C07">
            <w:pPr>
              <w:spacing w:after="0" w:line="240" w:lineRule="auto"/>
              <w:jc w:val="right"/>
              <w:rPr>
                <w:rFonts w:ascii="Calibri" w:eastAsia="Times New Roman" w:hAnsi="Calibri" w:cs="Calibri"/>
                <w:b/>
                <w:bCs/>
              </w:rPr>
            </w:pPr>
          </w:p>
        </w:tc>
        <w:tc>
          <w:tcPr>
            <w:tcW w:w="67" w:type="dxa"/>
            <w:tcMar>
              <w:top w:w="0" w:type="dxa"/>
              <w:left w:w="108" w:type="dxa"/>
              <w:bottom w:w="0" w:type="dxa"/>
              <w:right w:w="108" w:type="dxa"/>
            </w:tcMar>
            <w:hideMark/>
          </w:tcPr>
          <w:p w14:paraId="3146F3F6" w14:textId="77777777" w:rsidR="006E5C07" w:rsidRPr="006E5C07" w:rsidRDefault="006E5C07" w:rsidP="006E5C07">
            <w:pPr>
              <w:spacing w:after="0" w:line="240" w:lineRule="auto"/>
              <w:jc w:val="right"/>
              <w:rPr>
                <w:rFonts w:ascii="Calibri" w:eastAsia="Times New Roman" w:hAnsi="Calibri" w:cs="Calibri"/>
              </w:rPr>
            </w:pPr>
          </w:p>
        </w:tc>
        <w:tc>
          <w:tcPr>
            <w:tcW w:w="777" w:type="dxa"/>
            <w:tcMar>
              <w:top w:w="0" w:type="dxa"/>
              <w:left w:w="108" w:type="dxa"/>
              <w:bottom w:w="0" w:type="dxa"/>
              <w:right w:w="108" w:type="dxa"/>
            </w:tcMar>
            <w:hideMark/>
          </w:tcPr>
          <w:p w14:paraId="0A09FDC3" w14:textId="77777777" w:rsidR="006E5C07" w:rsidRPr="006E5C07" w:rsidRDefault="006E5C07" w:rsidP="006E5C07">
            <w:pPr>
              <w:spacing w:after="0" w:line="240" w:lineRule="auto"/>
              <w:jc w:val="right"/>
              <w:rPr>
                <w:rFonts w:ascii="Calibri" w:eastAsia="Times New Roman" w:hAnsi="Calibri" w:cs="Calibri"/>
                <w:b/>
                <w:bCs/>
              </w:rPr>
            </w:pPr>
          </w:p>
        </w:tc>
        <w:tc>
          <w:tcPr>
            <w:tcW w:w="67" w:type="dxa"/>
            <w:tcMar>
              <w:top w:w="0" w:type="dxa"/>
              <w:left w:w="108" w:type="dxa"/>
              <w:bottom w:w="0" w:type="dxa"/>
              <w:right w:w="108" w:type="dxa"/>
            </w:tcMar>
            <w:hideMark/>
          </w:tcPr>
          <w:p w14:paraId="3C58C9B4"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353ECA25" w14:textId="77777777" w:rsidR="006E5C07" w:rsidRPr="006E5C07" w:rsidRDefault="006E5C07" w:rsidP="006E5C07">
            <w:pPr>
              <w:spacing w:after="0" w:line="240" w:lineRule="auto"/>
              <w:jc w:val="right"/>
              <w:rPr>
                <w:rFonts w:ascii="Calibri" w:eastAsia="Times New Roman" w:hAnsi="Calibri" w:cs="Calibri"/>
              </w:rPr>
            </w:pPr>
          </w:p>
        </w:tc>
        <w:tc>
          <w:tcPr>
            <w:tcW w:w="68" w:type="dxa"/>
            <w:tcMar>
              <w:top w:w="0" w:type="dxa"/>
              <w:left w:w="108" w:type="dxa"/>
              <w:bottom w:w="0" w:type="dxa"/>
              <w:right w:w="108" w:type="dxa"/>
            </w:tcMar>
            <w:hideMark/>
          </w:tcPr>
          <w:p w14:paraId="44DDB96B" w14:textId="77777777" w:rsidR="006E5C07" w:rsidRPr="006E5C07" w:rsidRDefault="006E5C07" w:rsidP="006E5C07">
            <w:pPr>
              <w:spacing w:after="0" w:line="240" w:lineRule="auto"/>
              <w:jc w:val="right"/>
              <w:rPr>
                <w:rFonts w:ascii="Calibri" w:eastAsia="Times New Roman" w:hAnsi="Calibri" w:cs="Calibri"/>
              </w:rPr>
            </w:pPr>
          </w:p>
        </w:tc>
        <w:tc>
          <w:tcPr>
            <w:tcW w:w="776" w:type="dxa"/>
            <w:tcMar>
              <w:top w:w="0" w:type="dxa"/>
              <w:left w:w="108" w:type="dxa"/>
              <w:bottom w:w="0" w:type="dxa"/>
              <w:right w:w="108" w:type="dxa"/>
            </w:tcMar>
            <w:hideMark/>
          </w:tcPr>
          <w:p w14:paraId="091F1EC2"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0B7660FC" w14:textId="77777777" w:rsidTr="006E5C07">
        <w:tc>
          <w:tcPr>
            <w:tcW w:w="2019" w:type="dxa"/>
            <w:tcMar>
              <w:top w:w="0" w:type="dxa"/>
              <w:left w:w="108" w:type="dxa"/>
              <w:bottom w:w="0" w:type="dxa"/>
              <w:right w:w="108" w:type="dxa"/>
            </w:tcMar>
            <w:hideMark/>
          </w:tcPr>
          <w:p w14:paraId="30646A7F"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owners:</w:t>
            </w:r>
          </w:p>
        </w:tc>
        <w:tc>
          <w:tcPr>
            <w:tcW w:w="521" w:type="dxa"/>
            <w:tcMar>
              <w:top w:w="0" w:type="dxa"/>
              <w:left w:w="108" w:type="dxa"/>
              <w:bottom w:w="0" w:type="dxa"/>
              <w:right w:w="108" w:type="dxa"/>
            </w:tcMar>
            <w:hideMark/>
          </w:tcPr>
          <w:p w14:paraId="17565538" w14:textId="77777777" w:rsidR="006E5C07" w:rsidRPr="006E5C07" w:rsidRDefault="006E5C07" w:rsidP="006E5C07">
            <w:pPr>
              <w:spacing w:after="0" w:line="240" w:lineRule="auto"/>
              <w:jc w:val="right"/>
              <w:rPr>
                <w:rFonts w:ascii="Calibri" w:eastAsia="Times New Roman" w:hAnsi="Calibri" w:cs="Calibri"/>
                <w:b/>
                <w:bCs/>
              </w:rPr>
            </w:pPr>
          </w:p>
        </w:tc>
        <w:tc>
          <w:tcPr>
            <w:tcW w:w="68" w:type="dxa"/>
            <w:tcMar>
              <w:top w:w="0" w:type="dxa"/>
              <w:left w:w="108" w:type="dxa"/>
              <w:bottom w:w="0" w:type="dxa"/>
              <w:right w:w="108" w:type="dxa"/>
            </w:tcMar>
            <w:hideMark/>
          </w:tcPr>
          <w:p w14:paraId="660FF8F8" w14:textId="77777777" w:rsidR="006E5C07" w:rsidRPr="006E5C07" w:rsidRDefault="006E5C07" w:rsidP="006E5C07">
            <w:pPr>
              <w:spacing w:after="0" w:line="240" w:lineRule="auto"/>
              <w:jc w:val="right"/>
              <w:rPr>
                <w:rFonts w:ascii="Calibri" w:eastAsia="Times New Roman" w:hAnsi="Calibri" w:cs="Calibri"/>
              </w:rPr>
            </w:pPr>
          </w:p>
        </w:tc>
        <w:tc>
          <w:tcPr>
            <w:tcW w:w="776" w:type="dxa"/>
            <w:tcMar>
              <w:top w:w="0" w:type="dxa"/>
              <w:left w:w="108" w:type="dxa"/>
              <w:bottom w:w="0" w:type="dxa"/>
              <w:right w:w="108" w:type="dxa"/>
            </w:tcMar>
            <w:hideMark/>
          </w:tcPr>
          <w:p w14:paraId="0DCF21B5" w14:textId="77777777" w:rsidR="006E5C07" w:rsidRPr="006E5C07" w:rsidRDefault="006E5C07" w:rsidP="006E5C07">
            <w:pPr>
              <w:spacing w:after="0" w:line="240" w:lineRule="auto"/>
              <w:jc w:val="right"/>
              <w:rPr>
                <w:rFonts w:ascii="Calibri" w:eastAsia="Times New Roman" w:hAnsi="Calibri" w:cs="Calibri"/>
                <w:b/>
                <w:bCs/>
              </w:rPr>
            </w:pPr>
          </w:p>
        </w:tc>
        <w:tc>
          <w:tcPr>
            <w:tcW w:w="67" w:type="dxa"/>
            <w:tcMar>
              <w:top w:w="0" w:type="dxa"/>
              <w:left w:w="108" w:type="dxa"/>
              <w:bottom w:w="0" w:type="dxa"/>
              <w:right w:w="108" w:type="dxa"/>
            </w:tcMar>
            <w:hideMark/>
          </w:tcPr>
          <w:p w14:paraId="5E4CC789" w14:textId="77777777" w:rsidR="006E5C07" w:rsidRPr="006E5C07" w:rsidRDefault="006E5C07" w:rsidP="006E5C07">
            <w:pPr>
              <w:spacing w:after="0" w:line="240" w:lineRule="auto"/>
              <w:jc w:val="right"/>
              <w:rPr>
                <w:rFonts w:ascii="Calibri" w:eastAsia="Times New Roman" w:hAnsi="Calibri" w:cs="Calibri"/>
              </w:rPr>
            </w:pPr>
          </w:p>
        </w:tc>
        <w:tc>
          <w:tcPr>
            <w:tcW w:w="635" w:type="dxa"/>
            <w:tcMar>
              <w:top w:w="0" w:type="dxa"/>
              <w:left w:w="108" w:type="dxa"/>
              <w:bottom w:w="0" w:type="dxa"/>
              <w:right w:w="108" w:type="dxa"/>
            </w:tcMar>
            <w:hideMark/>
          </w:tcPr>
          <w:p w14:paraId="428FC81B" w14:textId="77777777" w:rsidR="006E5C07" w:rsidRPr="006E5C07" w:rsidRDefault="006E5C07" w:rsidP="006E5C07">
            <w:pPr>
              <w:spacing w:after="0" w:line="240" w:lineRule="auto"/>
              <w:jc w:val="right"/>
              <w:rPr>
                <w:rFonts w:ascii="Calibri" w:eastAsia="Times New Roman" w:hAnsi="Calibri" w:cs="Calibri"/>
                <w:b/>
                <w:bCs/>
              </w:rPr>
            </w:pPr>
          </w:p>
        </w:tc>
        <w:tc>
          <w:tcPr>
            <w:tcW w:w="67" w:type="dxa"/>
            <w:tcMar>
              <w:top w:w="0" w:type="dxa"/>
              <w:left w:w="108" w:type="dxa"/>
              <w:bottom w:w="0" w:type="dxa"/>
              <w:right w:w="108" w:type="dxa"/>
            </w:tcMar>
            <w:hideMark/>
          </w:tcPr>
          <w:p w14:paraId="20FC9EE2" w14:textId="77777777" w:rsidR="006E5C07" w:rsidRPr="006E5C07" w:rsidRDefault="006E5C07" w:rsidP="006E5C07">
            <w:pPr>
              <w:spacing w:after="0" w:line="240" w:lineRule="auto"/>
              <w:jc w:val="right"/>
              <w:rPr>
                <w:rFonts w:ascii="Calibri" w:eastAsia="Times New Roman" w:hAnsi="Calibri" w:cs="Calibri"/>
              </w:rPr>
            </w:pPr>
          </w:p>
        </w:tc>
        <w:tc>
          <w:tcPr>
            <w:tcW w:w="777" w:type="dxa"/>
            <w:tcMar>
              <w:top w:w="0" w:type="dxa"/>
              <w:left w:w="108" w:type="dxa"/>
              <w:bottom w:w="0" w:type="dxa"/>
              <w:right w:w="108" w:type="dxa"/>
            </w:tcMar>
            <w:hideMark/>
          </w:tcPr>
          <w:p w14:paraId="16680D3C" w14:textId="77777777" w:rsidR="006E5C07" w:rsidRPr="006E5C07" w:rsidRDefault="006E5C07" w:rsidP="006E5C07">
            <w:pPr>
              <w:spacing w:after="0" w:line="240" w:lineRule="auto"/>
              <w:jc w:val="right"/>
              <w:rPr>
                <w:rFonts w:ascii="Calibri" w:eastAsia="Times New Roman" w:hAnsi="Calibri" w:cs="Calibri"/>
                <w:b/>
                <w:bCs/>
              </w:rPr>
            </w:pPr>
          </w:p>
        </w:tc>
        <w:tc>
          <w:tcPr>
            <w:tcW w:w="67" w:type="dxa"/>
            <w:tcMar>
              <w:top w:w="0" w:type="dxa"/>
              <w:left w:w="108" w:type="dxa"/>
              <w:bottom w:w="0" w:type="dxa"/>
              <w:right w:w="108" w:type="dxa"/>
            </w:tcMar>
            <w:hideMark/>
          </w:tcPr>
          <w:p w14:paraId="30D07510"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4827BE7A" w14:textId="77777777" w:rsidR="006E5C07" w:rsidRPr="006E5C07" w:rsidRDefault="006E5C07" w:rsidP="006E5C07">
            <w:pPr>
              <w:spacing w:after="0" w:line="240" w:lineRule="auto"/>
              <w:jc w:val="right"/>
              <w:rPr>
                <w:rFonts w:ascii="Calibri" w:eastAsia="Times New Roman" w:hAnsi="Calibri" w:cs="Calibri"/>
              </w:rPr>
            </w:pPr>
          </w:p>
        </w:tc>
        <w:tc>
          <w:tcPr>
            <w:tcW w:w="68" w:type="dxa"/>
            <w:tcMar>
              <w:top w:w="0" w:type="dxa"/>
              <w:left w:w="108" w:type="dxa"/>
              <w:bottom w:w="0" w:type="dxa"/>
              <w:right w:w="108" w:type="dxa"/>
            </w:tcMar>
            <w:hideMark/>
          </w:tcPr>
          <w:p w14:paraId="37C33C17" w14:textId="77777777" w:rsidR="006E5C07" w:rsidRPr="006E5C07" w:rsidRDefault="006E5C07" w:rsidP="006E5C07">
            <w:pPr>
              <w:spacing w:after="0" w:line="240" w:lineRule="auto"/>
              <w:jc w:val="right"/>
              <w:rPr>
                <w:rFonts w:ascii="Calibri" w:eastAsia="Times New Roman" w:hAnsi="Calibri" w:cs="Calibri"/>
              </w:rPr>
            </w:pPr>
          </w:p>
        </w:tc>
        <w:tc>
          <w:tcPr>
            <w:tcW w:w="776" w:type="dxa"/>
            <w:tcMar>
              <w:top w:w="0" w:type="dxa"/>
              <w:left w:w="108" w:type="dxa"/>
              <w:bottom w:w="0" w:type="dxa"/>
              <w:right w:w="108" w:type="dxa"/>
            </w:tcMar>
            <w:hideMark/>
          </w:tcPr>
          <w:p w14:paraId="57E51C2A"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26B0705B" w14:textId="77777777" w:rsidTr="006E5C07">
        <w:tc>
          <w:tcPr>
            <w:tcW w:w="2019" w:type="dxa"/>
            <w:tcMar>
              <w:top w:w="0" w:type="dxa"/>
              <w:left w:w="108" w:type="dxa"/>
              <w:bottom w:w="0" w:type="dxa"/>
              <w:right w:w="108" w:type="dxa"/>
            </w:tcMar>
            <w:hideMark/>
          </w:tcPr>
          <w:p w14:paraId="57736256"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Dividends paid</w:t>
            </w:r>
          </w:p>
        </w:tc>
        <w:tc>
          <w:tcPr>
            <w:tcW w:w="521" w:type="dxa"/>
            <w:tcBorders>
              <w:top w:val="nil"/>
              <w:left w:val="nil"/>
              <w:bottom w:val="single" w:sz="8" w:space="0" w:color="auto"/>
              <w:right w:val="nil"/>
            </w:tcBorders>
            <w:tcMar>
              <w:top w:w="0" w:type="dxa"/>
              <w:left w:w="108" w:type="dxa"/>
              <w:bottom w:w="0" w:type="dxa"/>
              <w:right w:w="108" w:type="dxa"/>
            </w:tcMar>
            <w:hideMark/>
          </w:tcPr>
          <w:p w14:paraId="00905F5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8" w:type="dxa"/>
            <w:tcMar>
              <w:top w:w="0" w:type="dxa"/>
              <w:left w:w="108" w:type="dxa"/>
              <w:bottom w:w="0" w:type="dxa"/>
              <w:right w:w="108" w:type="dxa"/>
            </w:tcMar>
            <w:hideMark/>
          </w:tcPr>
          <w:p w14:paraId="3DA5C413" w14:textId="77777777" w:rsidR="006E5C07" w:rsidRPr="006E5C07" w:rsidRDefault="006E5C07" w:rsidP="006E5C07">
            <w:pPr>
              <w:spacing w:after="0" w:line="240" w:lineRule="auto"/>
              <w:jc w:val="right"/>
              <w:rPr>
                <w:rFonts w:ascii="Calibri" w:eastAsia="Times New Roman" w:hAnsi="Calibri" w:cs="Calibri"/>
              </w:rPr>
            </w:pPr>
          </w:p>
        </w:tc>
        <w:tc>
          <w:tcPr>
            <w:tcW w:w="776" w:type="dxa"/>
            <w:tcBorders>
              <w:top w:val="nil"/>
              <w:left w:val="nil"/>
              <w:bottom w:val="single" w:sz="8" w:space="0" w:color="auto"/>
              <w:right w:val="nil"/>
            </w:tcBorders>
            <w:tcMar>
              <w:top w:w="0" w:type="dxa"/>
              <w:left w:w="108" w:type="dxa"/>
              <w:bottom w:w="0" w:type="dxa"/>
              <w:right w:w="108" w:type="dxa"/>
            </w:tcMar>
            <w:hideMark/>
          </w:tcPr>
          <w:p w14:paraId="1B5FED5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7" w:type="dxa"/>
            <w:tcMar>
              <w:top w:w="0" w:type="dxa"/>
              <w:left w:w="108" w:type="dxa"/>
              <w:bottom w:w="0" w:type="dxa"/>
              <w:right w:w="108" w:type="dxa"/>
            </w:tcMar>
            <w:hideMark/>
          </w:tcPr>
          <w:p w14:paraId="4A20D8C7" w14:textId="77777777" w:rsidR="006E5C07" w:rsidRPr="006E5C07" w:rsidRDefault="006E5C07" w:rsidP="006E5C07">
            <w:pPr>
              <w:spacing w:after="0" w:line="240" w:lineRule="auto"/>
              <w:jc w:val="right"/>
              <w:rPr>
                <w:rFonts w:ascii="Calibri" w:eastAsia="Times New Roman" w:hAnsi="Calibri" w:cs="Calibri"/>
              </w:rPr>
            </w:pPr>
          </w:p>
        </w:tc>
        <w:tc>
          <w:tcPr>
            <w:tcW w:w="635" w:type="dxa"/>
            <w:tcBorders>
              <w:top w:val="nil"/>
              <w:left w:val="nil"/>
              <w:bottom w:val="single" w:sz="8" w:space="0" w:color="auto"/>
              <w:right w:val="nil"/>
            </w:tcBorders>
            <w:tcMar>
              <w:top w:w="0" w:type="dxa"/>
              <w:left w:w="108" w:type="dxa"/>
              <w:bottom w:w="0" w:type="dxa"/>
              <w:right w:w="108" w:type="dxa"/>
            </w:tcMar>
            <w:hideMark/>
          </w:tcPr>
          <w:p w14:paraId="692930A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7" w:type="dxa"/>
            <w:tcMar>
              <w:top w:w="0" w:type="dxa"/>
              <w:left w:w="108" w:type="dxa"/>
              <w:bottom w:w="0" w:type="dxa"/>
              <w:right w:w="108" w:type="dxa"/>
            </w:tcMar>
            <w:hideMark/>
          </w:tcPr>
          <w:p w14:paraId="6C3C086C" w14:textId="77777777" w:rsidR="006E5C07" w:rsidRPr="006E5C07" w:rsidRDefault="006E5C07" w:rsidP="006E5C07">
            <w:pPr>
              <w:spacing w:after="0" w:line="240" w:lineRule="auto"/>
              <w:jc w:val="right"/>
              <w:rPr>
                <w:rFonts w:ascii="Calibri" w:eastAsia="Times New Roman" w:hAnsi="Calibri" w:cs="Calibri"/>
              </w:rPr>
            </w:pPr>
          </w:p>
        </w:tc>
        <w:tc>
          <w:tcPr>
            <w:tcW w:w="777" w:type="dxa"/>
            <w:tcBorders>
              <w:top w:val="nil"/>
              <w:left w:val="nil"/>
              <w:bottom w:val="single" w:sz="8" w:space="0" w:color="auto"/>
              <w:right w:val="nil"/>
            </w:tcBorders>
            <w:tcMar>
              <w:top w:w="0" w:type="dxa"/>
              <w:left w:w="108" w:type="dxa"/>
              <w:bottom w:w="0" w:type="dxa"/>
              <w:right w:w="108" w:type="dxa"/>
            </w:tcMar>
            <w:hideMark/>
          </w:tcPr>
          <w:p w14:paraId="561C194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7" w:type="dxa"/>
            <w:tcMar>
              <w:top w:w="0" w:type="dxa"/>
              <w:left w:w="108" w:type="dxa"/>
              <w:bottom w:w="0" w:type="dxa"/>
              <w:right w:w="108" w:type="dxa"/>
            </w:tcMar>
            <w:hideMark/>
          </w:tcPr>
          <w:p w14:paraId="0F03D221" w14:textId="77777777" w:rsidR="006E5C07" w:rsidRPr="006E5C07" w:rsidRDefault="006E5C07" w:rsidP="006E5C07">
            <w:pPr>
              <w:spacing w:after="0" w:line="240" w:lineRule="auto"/>
              <w:jc w:val="right"/>
              <w:rPr>
                <w:rFonts w:ascii="Calibri" w:eastAsia="Times New Roman" w:hAnsi="Calibri" w:cs="Calibri"/>
              </w:rPr>
            </w:pPr>
          </w:p>
        </w:tc>
        <w:tc>
          <w:tcPr>
            <w:tcW w:w="918" w:type="dxa"/>
            <w:tcBorders>
              <w:top w:val="nil"/>
              <w:left w:val="nil"/>
              <w:bottom w:val="single" w:sz="8" w:space="0" w:color="auto"/>
              <w:right w:val="nil"/>
            </w:tcBorders>
            <w:tcMar>
              <w:top w:w="0" w:type="dxa"/>
              <w:left w:w="108" w:type="dxa"/>
              <w:bottom w:w="0" w:type="dxa"/>
              <w:right w:w="108" w:type="dxa"/>
            </w:tcMar>
            <w:hideMark/>
          </w:tcPr>
          <w:p w14:paraId="20A0FB1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8" w:type="dxa"/>
            <w:tcMar>
              <w:top w:w="0" w:type="dxa"/>
              <w:left w:w="108" w:type="dxa"/>
              <w:bottom w:w="0" w:type="dxa"/>
              <w:right w:w="108" w:type="dxa"/>
            </w:tcMar>
            <w:hideMark/>
          </w:tcPr>
          <w:p w14:paraId="5ACD05DB" w14:textId="77777777" w:rsidR="006E5C07" w:rsidRPr="006E5C07" w:rsidRDefault="006E5C07" w:rsidP="006E5C07">
            <w:pPr>
              <w:spacing w:after="0" w:line="240" w:lineRule="auto"/>
              <w:jc w:val="right"/>
              <w:rPr>
                <w:rFonts w:ascii="Calibri" w:eastAsia="Times New Roman" w:hAnsi="Calibri" w:cs="Calibri"/>
              </w:rPr>
            </w:pPr>
          </w:p>
        </w:tc>
        <w:tc>
          <w:tcPr>
            <w:tcW w:w="776" w:type="dxa"/>
            <w:tcBorders>
              <w:top w:val="nil"/>
              <w:left w:val="nil"/>
              <w:bottom w:val="single" w:sz="8" w:space="0" w:color="auto"/>
              <w:right w:val="nil"/>
            </w:tcBorders>
            <w:tcMar>
              <w:top w:w="0" w:type="dxa"/>
              <w:left w:w="108" w:type="dxa"/>
              <w:bottom w:w="0" w:type="dxa"/>
              <w:right w:w="108" w:type="dxa"/>
            </w:tcMar>
            <w:hideMark/>
          </w:tcPr>
          <w:p w14:paraId="0666895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r>
      <w:tr w:rsidR="006E5C07" w:rsidRPr="006E5C07" w14:paraId="51161B50" w14:textId="77777777" w:rsidTr="006E5C07">
        <w:tc>
          <w:tcPr>
            <w:tcW w:w="2019" w:type="dxa"/>
            <w:tcMar>
              <w:top w:w="0" w:type="dxa"/>
              <w:left w:w="108" w:type="dxa"/>
              <w:bottom w:w="0" w:type="dxa"/>
              <w:right w:w="108" w:type="dxa"/>
            </w:tcMar>
            <w:hideMark/>
          </w:tcPr>
          <w:p w14:paraId="59D3160B"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Total transactions with</w:t>
            </w:r>
          </w:p>
        </w:tc>
        <w:tc>
          <w:tcPr>
            <w:tcW w:w="521" w:type="dxa"/>
            <w:tcBorders>
              <w:top w:val="nil"/>
              <w:left w:val="nil"/>
              <w:bottom w:val="nil"/>
              <w:right w:val="nil"/>
            </w:tcBorders>
            <w:tcMar>
              <w:top w:w="0" w:type="dxa"/>
              <w:left w:w="108" w:type="dxa"/>
              <w:bottom w:w="0" w:type="dxa"/>
              <w:right w:w="108" w:type="dxa"/>
            </w:tcMar>
            <w:hideMark/>
          </w:tcPr>
          <w:p w14:paraId="12018CAD"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68" w:type="dxa"/>
            <w:tcMar>
              <w:top w:w="0" w:type="dxa"/>
              <w:left w:w="108" w:type="dxa"/>
              <w:bottom w:w="0" w:type="dxa"/>
              <w:right w:w="108" w:type="dxa"/>
            </w:tcMar>
            <w:hideMark/>
          </w:tcPr>
          <w:p w14:paraId="607E72CE" w14:textId="77777777" w:rsidR="006E5C07" w:rsidRPr="006E5C07" w:rsidRDefault="006E5C07" w:rsidP="006E5C07">
            <w:pPr>
              <w:spacing w:after="0" w:line="240" w:lineRule="auto"/>
              <w:jc w:val="right"/>
              <w:rPr>
                <w:rFonts w:ascii="Calibri" w:eastAsia="Times New Roman" w:hAnsi="Calibri" w:cs="Calibri"/>
              </w:rPr>
            </w:pPr>
          </w:p>
        </w:tc>
        <w:tc>
          <w:tcPr>
            <w:tcW w:w="776" w:type="dxa"/>
            <w:tcBorders>
              <w:top w:val="nil"/>
              <w:left w:val="nil"/>
              <w:bottom w:val="nil"/>
              <w:right w:val="nil"/>
            </w:tcBorders>
            <w:tcMar>
              <w:top w:w="0" w:type="dxa"/>
              <w:left w:w="108" w:type="dxa"/>
              <w:bottom w:w="0" w:type="dxa"/>
              <w:right w:w="108" w:type="dxa"/>
            </w:tcMar>
            <w:hideMark/>
          </w:tcPr>
          <w:p w14:paraId="6E073E3F"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67" w:type="dxa"/>
            <w:tcMar>
              <w:top w:w="0" w:type="dxa"/>
              <w:left w:w="108" w:type="dxa"/>
              <w:bottom w:w="0" w:type="dxa"/>
              <w:right w:w="108" w:type="dxa"/>
            </w:tcMar>
            <w:hideMark/>
          </w:tcPr>
          <w:p w14:paraId="26EBE8EE" w14:textId="77777777" w:rsidR="006E5C07" w:rsidRPr="006E5C07" w:rsidRDefault="006E5C07" w:rsidP="006E5C07">
            <w:pPr>
              <w:spacing w:after="0" w:line="240" w:lineRule="auto"/>
              <w:jc w:val="right"/>
              <w:rPr>
                <w:rFonts w:ascii="Calibri" w:eastAsia="Times New Roman" w:hAnsi="Calibri" w:cs="Calibri"/>
              </w:rPr>
            </w:pPr>
          </w:p>
        </w:tc>
        <w:tc>
          <w:tcPr>
            <w:tcW w:w="635" w:type="dxa"/>
            <w:tcBorders>
              <w:top w:val="nil"/>
              <w:left w:val="nil"/>
              <w:bottom w:val="nil"/>
              <w:right w:val="nil"/>
            </w:tcBorders>
            <w:tcMar>
              <w:top w:w="0" w:type="dxa"/>
              <w:left w:w="108" w:type="dxa"/>
              <w:bottom w:w="0" w:type="dxa"/>
              <w:right w:w="108" w:type="dxa"/>
            </w:tcMar>
            <w:hideMark/>
          </w:tcPr>
          <w:p w14:paraId="4353B79F"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67" w:type="dxa"/>
            <w:tcMar>
              <w:top w:w="0" w:type="dxa"/>
              <w:left w:w="108" w:type="dxa"/>
              <w:bottom w:w="0" w:type="dxa"/>
              <w:right w:w="108" w:type="dxa"/>
            </w:tcMar>
            <w:hideMark/>
          </w:tcPr>
          <w:p w14:paraId="7DB81B56" w14:textId="77777777" w:rsidR="006E5C07" w:rsidRPr="006E5C07" w:rsidRDefault="006E5C07" w:rsidP="006E5C07">
            <w:pPr>
              <w:spacing w:after="0" w:line="240" w:lineRule="auto"/>
              <w:jc w:val="right"/>
              <w:rPr>
                <w:rFonts w:ascii="Calibri" w:eastAsia="Times New Roman" w:hAnsi="Calibri" w:cs="Calibri"/>
              </w:rPr>
            </w:pPr>
          </w:p>
        </w:tc>
        <w:tc>
          <w:tcPr>
            <w:tcW w:w="777" w:type="dxa"/>
            <w:tcBorders>
              <w:top w:val="nil"/>
              <w:left w:val="nil"/>
              <w:bottom w:val="nil"/>
              <w:right w:val="nil"/>
            </w:tcBorders>
            <w:tcMar>
              <w:top w:w="0" w:type="dxa"/>
              <w:left w:w="108" w:type="dxa"/>
              <w:bottom w:w="0" w:type="dxa"/>
              <w:right w:w="108" w:type="dxa"/>
            </w:tcMar>
            <w:hideMark/>
          </w:tcPr>
          <w:p w14:paraId="1AFDA483"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67" w:type="dxa"/>
            <w:tcMar>
              <w:top w:w="0" w:type="dxa"/>
              <w:left w:w="108" w:type="dxa"/>
              <w:bottom w:w="0" w:type="dxa"/>
              <w:right w:w="108" w:type="dxa"/>
            </w:tcMar>
            <w:hideMark/>
          </w:tcPr>
          <w:p w14:paraId="0F9CE938" w14:textId="77777777" w:rsidR="006E5C07" w:rsidRPr="006E5C07" w:rsidRDefault="006E5C07" w:rsidP="006E5C07">
            <w:pPr>
              <w:spacing w:after="0" w:line="240" w:lineRule="auto"/>
              <w:jc w:val="right"/>
              <w:rPr>
                <w:rFonts w:ascii="Calibri" w:eastAsia="Times New Roman" w:hAnsi="Calibri" w:cs="Calibri"/>
              </w:rPr>
            </w:pPr>
          </w:p>
        </w:tc>
        <w:tc>
          <w:tcPr>
            <w:tcW w:w="918" w:type="dxa"/>
            <w:tcBorders>
              <w:top w:val="nil"/>
              <w:left w:val="nil"/>
              <w:bottom w:val="nil"/>
              <w:right w:val="nil"/>
            </w:tcBorders>
            <w:tcMar>
              <w:top w:w="0" w:type="dxa"/>
              <w:left w:w="108" w:type="dxa"/>
              <w:bottom w:w="0" w:type="dxa"/>
              <w:right w:w="108" w:type="dxa"/>
            </w:tcMar>
            <w:hideMark/>
          </w:tcPr>
          <w:p w14:paraId="11ABC298"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68" w:type="dxa"/>
            <w:tcMar>
              <w:top w:w="0" w:type="dxa"/>
              <w:left w:w="108" w:type="dxa"/>
              <w:bottom w:w="0" w:type="dxa"/>
              <w:right w:w="108" w:type="dxa"/>
            </w:tcMar>
            <w:hideMark/>
          </w:tcPr>
          <w:p w14:paraId="0554EC02" w14:textId="77777777" w:rsidR="006E5C07" w:rsidRPr="006E5C07" w:rsidRDefault="006E5C07" w:rsidP="006E5C07">
            <w:pPr>
              <w:spacing w:after="0" w:line="240" w:lineRule="auto"/>
              <w:jc w:val="right"/>
              <w:rPr>
                <w:rFonts w:ascii="Calibri" w:eastAsia="Times New Roman" w:hAnsi="Calibri" w:cs="Calibri"/>
              </w:rPr>
            </w:pPr>
          </w:p>
        </w:tc>
        <w:tc>
          <w:tcPr>
            <w:tcW w:w="776" w:type="dxa"/>
            <w:tcBorders>
              <w:top w:val="nil"/>
              <w:left w:val="nil"/>
              <w:bottom w:val="nil"/>
              <w:right w:val="nil"/>
            </w:tcBorders>
            <w:tcMar>
              <w:top w:w="0" w:type="dxa"/>
              <w:left w:w="108" w:type="dxa"/>
              <w:bottom w:w="0" w:type="dxa"/>
              <w:right w:w="108" w:type="dxa"/>
            </w:tcMar>
            <w:hideMark/>
          </w:tcPr>
          <w:p w14:paraId="25EEB157"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r>
      <w:tr w:rsidR="006E5C07" w:rsidRPr="006E5C07" w14:paraId="71E437CA" w14:textId="77777777" w:rsidTr="006E5C07">
        <w:tc>
          <w:tcPr>
            <w:tcW w:w="2019" w:type="dxa"/>
            <w:tcMar>
              <w:top w:w="0" w:type="dxa"/>
              <w:left w:w="108" w:type="dxa"/>
              <w:bottom w:w="0" w:type="dxa"/>
              <w:right w:w="108" w:type="dxa"/>
            </w:tcMar>
            <w:hideMark/>
          </w:tcPr>
          <w:p w14:paraId="5822BB8E"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owners</w:t>
            </w:r>
          </w:p>
        </w:tc>
        <w:tc>
          <w:tcPr>
            <w:tcW w:w="521" w:type="dxa"/>
            <w:tcMar>
              <w:top w:w="0" w:type="dxa"/>
              <w:left w:w="108" w:type="dxa"/>
              <w:bottom w:w="0" w:type="dxa"/>
              <w:right w:w="108" w:type="dxa"/>
            </w:tcMar>
            <w:hideMark/>
          </w:tcPr>
          <w:p w14:paraId="47821B37" w14:textId="77777777" w:rsidR="006E5C07" w:rsidRPr="006E5C07" w:rsidRDefault="006E5C07" w:rsidP="006E5C07">
            <w:pPr>
              <w:spacing w:after="0" w:line="240" w:lineRule="auto"/>
              <w:jc w:val="right"/>
              <w:rPr>
                <w:rFonts w:ascii="Calibri" w:eastAsia="Times New Roman" w:hAnsi="Calibri" w:cs="Calibri"/>
                <w:b/>
                <w:bCs/>
              </w:rPr>
            </w:pPr>
          </w:p>
        </w:tc>
        <w:tc>
          <w:tcPr>
            <w:tcW w:w="68" w:type="dxa"/>
            <w:tcMar>
              <w:top w:w="0" w:type="dxa"/>
              <w:left w:w="108" w:type="dxa"/>
              <w:bottom w:w="0" w:type="dxa"/>
              <w:right w:w="108" w:type="dxa"/>
            </w:tcMar>
            <w:hideMark/>
          </w:tcPr>
          <w:p w14:paraId="655AE4A5" w14:textId="77777777" w:rsidR="006E5C07" w:rsidRPr="006E5C07" w:rsidRDefault="006E5C07" w:rsidP="006E5C07">
            <w:pPr>
              <w:spacing w:after="0" w:line="240" w:lineRule="auto"/>
              <w:jc w:val="right"/>
              <w:rPr>
                <w:rFonts w:ascii="Calibri" w:eastAsia="Times New Roman" w:hAnsi="Calibri" w:cs="Calibri"/>
              </w:rPr>
            </w:pPr>
          </w:p>
        </w:tc>
        <w:tc>
          <w:tcPr>
            <w:tcW w:w="776" w:type="dxa"/>
            <w:tcMar>
              <w:top w:w="0" w:type="dxa"/>
              <w:left w:w="108" w:type="dxa"/>
              <w:bottom w:w="0" w:type="dxa"/>
              <w:right w:w="108" w:type="dxa"/>
            </w:tcMar>
            <w:hideMark/>
          </w:tcPr>
          <w:p w14:paraId="6B027BB6" w14:textId="77777777" w:rsidR="006E5C07" w:rsidRPr="006E5C07" w:rsidRDefault="006E5C07" w:rsidP="006E5C07">
            <w:pPr>
              <w:spacing w:after="0" w:line="240" w:lineRule="auto"/>
              <w:jc w:val="right"/>
              <w:rPr>
                <w:rFonts w:ascii="Calibri" w:eastAsia="Times New Roman" w:hAnsi="Calibri" w:cs="Calibri"/>
                <w:b/>
                <w:bCs/>
              </w:rPr>
            </w:pPr>
          </w:p>
        </w:tc>
        <w:tc>
          <w:tcPr>
            <w:tcW w:w="67" w:type="dxa"/>
            <w:tcMar>
              <w:top w:w="0" w:type="dxa"/>
              <w:left w:w="108" w:type="dxa"/>
              <w:bottom w:w="0" w:type="dxa"/>
              <w:right w:w="108" w:type="dxa"/>
            </w:tcMar>
            <w:hideMark/>
          </w:tcPr>
          <w:p w14:paraId="5950D2ED" w14:textId="77777777" w:rsidR="006E5C07" w:rsidRPr="006E5C07" w:rsidRDefault="006E5C07" w:rsidP="006E5C07">
            <w:pPr>
              <w:spacing w:after="0" w:line="240" w:lineRule="auto"/>
              <w:jc w:val="right"/>
              <w:rPr>
                <w:rFonts w:ascii="Calibri" w:eastAsia="Times New Roman" w:hAnsi="Calibri" w:cs="Calibri"/>
              </w:rPr>
            </w:pPr>
          </w:p>
        </w:tc>
        <w:tc>
          <w:tcPr>
            <w:tcW w:w="635" w:type="dxa"/>
            <w:tcMar>
              <w:top w:w="0" w:type="dxa"/>
              <w:left w:w="108" w:type="dxa"/>
              <w:bottom w:w="0" w:type="dxa"/>
              <w:right w:w="108" w:type="dxa"/>
            </w:tcMar>
            <w:hideMark/>
          </w:tcPr>
          <w:p w14:paraId="0CB8B7D3" w14:textId="77777777" w:rsidR="006E5C07" w:rsidRPr="006E5C07" w:rsidRDefault="006E5C07" w:rsidP="006E5C07">
            <w:pPr>
              <w:spacing w:after="0" w:line="240" w:lineRule="auto"/>
              <w:jc w:val="right"/>
              <w:rPr>
                <w:rFonts w:ascii="Calibri" w:eastAsia="Times New Roman" w:hAnsi="Calibri" w:cs="Calibri"/>
                <w:b/>
                <w:bCs/>
              </w:rPr>
            </w:pPr>
          </w:p>
        </w:tc>
        <w:tc>
          <w:tcPr>
            <w:tcW w:w="67" w:type="dxa"/>
            <w:tcMar>
              <w:top w:w="0" w:type="dxa"/>
              <w:left w:w="108" w:type="dxa"/>
              <w:bottom w:w="0" w:type="dxa"/>
              <w:right w:w="108" w:type="dxa"/>
            </w:tcMar>
            <w:hideMark/>
          </w:tcPr>
          <w:p w14:paraId="2570D872" w14:textId="77777777" w:rsidR="006E5C07" w:rsidRPr="006E5C07" w:rsidRDefault="006E5C07" w:rsidP="006E5C07">
            <w:pPr>
              <w:spacing w:after="0" w:line="240" w:lineRule="auto"/>
              <w:jc w:val="right"/>
              <w:rPr>
                <w:rFonts w:ascii="Calibri" w:eastAsia="Times New Roman" w:hAnsi="Calibri" w:cs="Calibri"/>
              </w:rPr>
            </w:pPr>
          </w:p>
        </w:tc>
        <w:tc>
          <w:tcPr>
            <w:tcW w:w="777" w:type="dxa"/>
            <w:tcMar>
              <w:top w:w="0" w:type="dxa"/>
              <w:left w:w="108" w:type="dxa"/>
              <w:bottom w:w="0" w:type="dxa"/>
              <w:right w:w="108" w:type="dxa"/>
            </w:tcMar>
            <w:hideMark/>
          </w:tcPr>
          <w:p w14:paraId="752C4921" w14:textId="77777777" w:rsidR="006E5C07" w:rsidRPr="006E5C07" w:rsidRDefault="006E5C07" w:rsidP="006E5C07">
            <w:pPr>
              <w:spacing w:after="0" w:line="240" w:lineRule="auto"/>
              <w:jc w:val="right"/>
              <w:rPr>
                <w:rFonts w:ascii="Calibri" w:eastAsia="Times New Roman" w:hAnsi="Calibri" w:cs="Calibri"/>
                <w:b/>
                <w:bCs/>
              </w:rPr>
            </w:pPr>
          </w:p>
        </w:tc>
        <w:tc>
          <w:tcPr>
            <w:tcW w:w="67" w:type="dxa"/>
            <w:tcMar>
              <w:top w:w="0" w:type="dxa"/>
              <w:left w:w="108" w:type="dxa"/>
              <w:bottom w:w="0" w:type="dxa"/>
              <w:right w:w="108" w:type="dxa"/>
            </w:tcMar>
            <w:hideMark/>
          </w:tcPr>
          <w:p w14:paraId="3EFE6E46"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41D953DD" w14:textId="77777777" w:rsidR="006E5C07" w:rsidRPr="006E5C07" w:rsidRDefault="006E5C07" w:rsidP="006E5C07">
            <w:pPr>
              <w:spacing w:after="0" w:line="240" w:lineRule="auto"/>
              <w:jc w:val="right"/>
              <w:rPr>
                <w:rFonts w:ascii="Calibri" w:eastAsia="Times New Roman" w:hAnsi="Calibri" w:cs="Calibri"/>
              </w:rPr>
            </w:pPr>
          </w:p>
        </w:tc>
        <w:tc>
          <w:tcPr>
            <w:tcW w:w="68" w:type="dxa"/>
            <w:tcMar>
              <w:top w:w="0" w:type="dxa"/>
              <w:left w:w="108" w:type="dxa"/>
              <w:bottom w:w="0" w:type="dxa"/>
              <w:right w:w="108" w:type="dxa"/>
            </w:tcMar>
            <w:hideMark/>
          </w:tcPr>
          <w:p w14:paraId="4973165B" w14:textId="77777777" w:rsidR="006E5C07" w:rsidRPr="006E5C07" w:rsidRDefault="006E5C07" w:rsidP="006E5C07">
            <w:pPr>
              <w:spacing w:after="0" w:line="240" w:lineRule="auto"/>
              <w:jc w:val="right"/>
              <w:rPr>
                <w:rFonts w:ascii="Calibri" w:eastAsia="Times New Roman" w:hAnsi="Calibri" w:cs="Calibri"/>
              </w:rPr>
            </w:pPr>
          </w:p>
        </w:tc>
        <w:tc>
          <w:tcPr>
            <w:tcW w:w="776" w:type="dxa"/>
            <w:tcMar>
              <w:top w:w="0" w:type="dxa"/>
              <w:left w:w="108" w:type="dxa"/>
              <w:bottom w:w="0" w:type="dxa"/>
              <w:right w:w="108" w:type="dxa"/>
            </w:tcMar>
            <w:hideMark/>
          </w:tcPr>
          <w:p w14:paraId="5F2D8F6D"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239FC8D8" w14:textId="77777777" w:rsidTr="006E5C07">
        <w:tc>
          <w:tcPr>
            <w:tcW w:w="2019" w:type="dxa"/>
            <w:tcMar>
              <w:top w:w="0" w:type="dxa"/>
              <w:left w:w="108" w:type="dxa"/>
              <w:bottom w:w="0" w:type="dxa"/>
              <w:right w:w="108" w:type="dxa"/>
            </w:tcMar>
            <w:hideMark/>
          </w:tcPr>
          <w:p w14:paraId="5B3D2F80" w14:textId="77777777" w:rsidR="006E5C07" w:rsidRPr="006E5C07" w:rsidRDefault="006E5C07" w:rsidP="006E5C07">
            <w:pPr>
              <w:spacing w:after="0" w:line="240" w:lineRule="auto"/>
              <w:rPr>
                <w:rFonts w:ascii="Calibri" w:eastAsia="Times New Roman" w:hAnsi="Calibri" w:cs="Calibri"/>
              </w:rPr>
            </w:pPr>
          </w:p>
        </w:tc>
        <w:tc>
          <w:tcPr>
            <w:tcW w:w="521" w:type="dxa"/>
            <w:tcBorders>
              <w:top w:val="nil"/>
              <w:left w:val="nil"/>
              <w:bottom w:val="single" w:sz="8" w:space="0" w:color="auto"/>
              <w:right w:val="nil"/>
            </w:tcBorders>
            <w:tcMar>
              <w:top w:w="0" w:type="dxa"/>
              <w:left w:w="108" w:type="dxa"/>
              <w:bottom w:w="0" w:type="dxa"/>
              <w:right w:w="108" w:type="dxa"/>
            </w:tcMar>
            <w:hideMark/>
          </w:tcPr>
          <w:p w14:paraId="555429B9" w14:textId="77777777" w:rsidR="006E5C07" w:rsidRPr="006E5C07" w:rsidRDefault="006E5C07" w:rsidP="006E5C07">
            <w:pPr>
              <w:spacing w:after="0" w:line="240" w:lineRule="auto"/>
              <w:jc w:val="right"/>
              <w:rPr>
                <w:rFonts w:ascii="Calibri" w:eastAsia="Times New Roman" w:hAnsi="Calibri" w:cs="Calibri"/>
              </w:rPr>
            </w:pPr>
          </w:p>
        </w:tc>
        <w:tc>
          <w:tcPr>
            <w:tcW w:w="68" w:type="dxa"/>
            <w:tcMar>
              <w:top w:w="0" w:type="dxa"/>
              <w:left w:w="108" w:type="dxa"/>
              <w:bottom w:w="0" w:type="dxa"/>
              <w:right w:w="108" w:type="dxa"/>
            </w:tcMar>
            <w:hideMark/>
          </w:tcPr>
          <w:p w14:paraId="18D19173" w14:textId="77777777" w:rsidR="006E5C07" w:rsidRPr="006E5C07" w:rsidRDefault="006E5C07" w:rsidP="006E5C07">
            <w:pPr>
              <w:spacing w:after="0" w:line="240" w:lineRule="auto"/>
              <w:jc w:val="right"/>
              <w:rPr>
                <w:rFonts w:ascii="Calibri" w:eastAsia="Times New Roman" w:hAnsi="Calibri" w:cs="Calibri"/>
              </w:rPr>
            </w:pPr>
          </w:p>
        </w:tc>
        <w:tc>
          <w:tcPr>
            <w:tcW w:w="776" w:type="dxa"/>
            <w:tcBorders>
              <w:top w:val="nil"/>
              <w:left w:val="nil"/>
              <w:bottom w:val="single" w:sz="8" w:space="0" w:color="auto"/>
              <w:right w:val="nil"/>
            </w:tcBorders>
            <w:tcMar>
              <w:top w:w="0" w:type="dxa"/>
              <w:left w:w="108" w:type="dxa"/>
              <w:bottom w:w="0" w:type="dxa"/>
              <w:right w:w="108" w:type="dxa"/>
            </w:tcMar>
            <w:hideMark/>
          </w:tcPr>
          <w:p w14:paraId="3AC5AA31" w14:textId="77777777" w:rsidR="006E5C07" w:rsidRPr="006E5C07" w:rsidRDefault="006E5C07" w:rsidP="006E5C07">
            <w:pPr>
              <w:spacing w:after="0" w:line="240" w:lineRule="auto"/>
              <w:jc w:val="right"/>
              <w:rPr>
                <w:rFonts w:ascii="Calibri" w:eastAsia="Times New Roman" w:hAnsi="Calibri" w:cs="Calibri"/>
              </w:rPr>
            </w:pPr>
          </w:p>
        </w:tc>
        <w:tc>
          <w:tcPr>
            <w:tcW w:w="67" w:type="dxa"/>
            <w:tcMar>
              <w:top w:w="0" w:type="dxa"/>
              <w:left w:w="108" w:type="dxa"/>
              <w:bottom w:w="0" w:type="dxa"/>
              <w:right w:w="108" w:type="dxa"/>
            </w:tcMar>
            <w:hideMark/>
          </w:tcPr>
          <w:p w14:paraId="4C1EE33B" w14:textId="77777777" w:rsidR="006E5C07" w:rsidRPr="006E5C07" w:rsidRDefault="006E5C07" w:rsidP="006E5C07">
            <w:pPr>
              <w:spacing w:after="0" w:line="240" w:lineRule="auto"/>
              <w:jc w:val="right"/>
              <w:rPr>
                <w:rFonts w:ascii="Calibri" w:eastAsia="Times New Roman" w:hAnsi="Calibri" w:cs="Calibri"/>
              </w:rPr>
            </w:pPr>
          </w:p>
        </w:tc>
        <w:tc>
          <w:tcPr>
            <w:tcW w:w="635" w:type="dxa"/>
            <w:tcBorders>
              <w:top w:val="nil"/>
              <w:left w:val="nil"/>
              <w:bottom w:val="single" w:sz="8" w:space="0" w:color="auto"/>
              <w:right w:val="nil"/>
            </w:tcBorders>
            <w:tcMar>
              <w:top w:w="0" w:type="dxa"/>
              <w:left w:w="108" w:type="dxa"/>
              <w:bottom w:w="0" w:type="dxa"/>
              <w:right w:w="108" w:type="dxa"/>
            </w:tcMar>
            <w:hideMark/>
          </w:tcPr>
          <w:p w14:paraId="58002892" w14:textId="77777777" w:rsidR="006E5C07" w:rsidRPr="006E5C07" w:rsidRDefault="006E5C07" w:rsidP="006E5C07">
            <w:pPr>
              <w:spacing w:after="0" w:line="240" w:lineRule="auto"/>
              <w:jc w:val="right"/>
              <w:rPr>
                <w:rFonts w:ascii="Calibri" w:eastAsia="Times New Roman" w:hAnsi="Calibri" w:cs="Calibri"/>
              </w:rPr>
            </w:pPr>
          </w:p>
        </w:tc>
        <w:tc>
          <w:tcPr>
            <w:tcW w:w="67" w:type="dxa"/>
            <w:tcMar>
              <w:top w:w="0" w:type="dxa"/>
              <w:left w:w="108" w:type="dxa"/>
              <w:bottom w:w="0" w:type="dxa"/>
              <w:right w:w="108" w:type="dxa"/>
            </w:tcMar>
            <w:hideMark/>
          </w:tcPr>
          <w:p w14:paraId="19215696" w14:textId="77777777" w:rsidR="006E5C07" w:rsidRPr="006E5C07" w:rsidRDefault="006E5C07" w:rsidP="006E5C07">
            <w:pPr>
              <w:spacing w:after="0" w:line="240" w:lineRule="auto"/>
              <w:jc w:val="right"/>
              <w:rPr>
                <w:rFonts w:ascii="Calibri" w:eastAsia="Times New Roman" w:hAnsi="Calibri" w:cs="Calibri"/>
              </w:rPr>
            </w:pPr>
          </w:p>
        </w:tc>
        <w:tc>
          <w:tcPr>
            <w:tcW w:w="777" w:type="dxa"/>
            <w:tcBorders>
              <w:top w:val="nil"/>
              <w:left w:val="nil"/>
              <w:bottom w:val="single" w:sz="8" w:space="0" w:color="auto"/>
              <w:right w:val="nil"/>
            </w:tcBorders>
            <w:tcMar>
              <w:top w:w="0" w:type="dxa"/>
              <w:left w:w="108" w:type="dxa"/>
              <w:bottom w:w="0" w:type="dxa"/>
              <w:right w:w="108" w:type="dxa"/>
            </w:tcMar>
            <w:hideMark/>
          </w:tcPr>
          <w:p w14:paraId="2F038166" w14:textId="77777777" w:rsidR="006E5C07" w:rsidRPr="006E5C07" w:rsidRDefault="006E5C07" w:rsidP="006E5C07">
            <w:pPr>
              <w:spacing w:after="0" w:line="240" w:lineRule="auto"/>
              <w:jc w:val="right"/>
              <w:rPr>
                <w:rFonts w:ascii="Calibri" w:eastAsia="Times New Roman" w:hAnsi="Calibri" w:cs="Calibri"/>
              </w:rPr>
            </w:pPr>
          </w:p>
        </w:tc>
        <w:tc>
          <w:tcPr>
            <w:tcW w:w="67" w:type="dxa"/>
            <w:tcMar>
              <w:top w:w="0" w:type="dxa"/>
              <w:left w:w="108" w:type="dxa"/>
              <w:bottom w:w="0" w:type="dxa"/>
              <w:right w:w="108" w:type="dxa"/>
            </w:tcMar>
            <w:hideMark/>
          </w:tcPr>
          <w:p w14:paraId="3487F5C8" w14:textId="77777777" w:rsidR="006E5C07" w:rsidRPr="006E5C07" w:rsidRDefault="006E5C07" w:rsidP="006E5C07">
            <w:pPr>
              <w:spacing w:after="0" w:line="240" w:lineRule="auto"/>
              <w:jc w:val="right"/>
              <w:rPr>
                <w:rFonts w:ascii="Calibri" w:eastAsia="Times New Roman" w:hAnsi="Calibri" w:cs="Calibri"/>
              </w:rPr>
            </w:pPr>
          </w:p>
        </w:tc>
        <w:tc>
          <w:tcPr>
            <w:tcW w:w="918" w:type="dxa"/>
            <w:tcBorders>
              <w:top w:val="nil"/>
              <w:left w:val="nil"/>
              <w:bottom w:val="single" w:sz="8" w:space="0" w:color="auto"/>
              <w:right w:val="nil"/>
            </w:tcBorders>
            <w:tcMar>
              <w:top w:w="0" w:type="dxa"/>
              <w:left w:w="108" w:type="dxa"/>
              <w:bottom w:w="0" w:type="dxa"/>
              <w:right w:w="108" w:type="dxa"/>
            </w:tcMar>
            <w:hideMark/>
          </w:tcPr>
          <w:p w14:paraId="5EECB752" w14:textId="77777777" w:rsidR="006E5C07" w:rsidRPr="006E5C07" w:rsidRDefault="006E5C07" w:rsidP="006E5C07">
            <w:pPr>
              <w:spacing w:after="0" w:line="240" w:lineRule="auto"/>
              <w:jc w:val="right"/>
              <w:rPr>
                <w:rFonts w:ascii="Calibri" w:eastAsia="Times New Roman" w:hAnsi="Calibri" w:cs="Calibri"/>
              </w:rPr>
            </w:pPr>
          </w:p>
        </w:tc>
        <w:tc>
          <w:tcPr>
            <w:tcW w:w="68" w:type="dxa"/>
            <w:tcMar>
              <w:top w:w="0" w:type="dxa"/>
              <w:left w:w="108" w:type="dxa"/>
              <w:bottom w:w="0" w:type="dxa"/>
              <w:right w:w="108" w:type="dxa"/>
            </w:tcMar>
            <w:hideMark/>
          </w:tcPr>
          <w:p w14:paraId="3A41B170" w14:textId="77777777" w:rsidR="006E5C07" w:rsidRPr="006E5C07" w:rsidRDefault="006E5C07" w:rsidP="006E5C07">
            <w:pPr>
              <w:spacing w:after="0" w:line="240" w:lineRule="auto"/>
              <w:jc w:val="right"/>
              <w:rPr>
                <w:rFonts w:ascii="Calibri" w:eastAsia="Times New Roman" w:hAnsi="Calibri" w:cs="Calibri"/>
              </w:rPr>
            </w:pPr>
          </w:p>
        </w:tc>
        <w:tc>
          <w:tcPr>
            <w:tcW w:w="776" w:type="dxa"/>
            <w:tcBorders>
              <w:top w:val="nil"/>
              <w:left w:val="nil"/>
              <w:bottom w:val="single" w:sz="8" w:space="0" w:color="auto"/>
              <w:right w:val="nil"/>
            </w:tcBorders>
            <w:tcMar>
              <w:top w:w="0" w:type="dxa"/>
              <w:left w:w="108" w:type="dxa"/>
              <w:bottom w:w="0" w:type="dxa"/>
              <w:right w:w="108" w:type="dxa"/>
            </w:tcMar>
            <w:hideMark/>
          </w:tcPr>
          <w:p w14:paraId="0540D7B4"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2AB49328" w14:textId="77777777" w:rsidTr="006E5C07">
        <w:tc>
          <w:tcPr>
            <w:tcW w:w="2019" w:type="dxa"/>
            <w:tcMar>
              <w:top w:w="0" w:type="dxa"/>
              <w:left w:w="108" w:type="dxa"/>
              <w:bottom w:w="0" w:type="dxa"/>
              <w:right w:w="108" w:type="dxa"/>
            </w:tcMar>
            <w:hideMark/>
          </w:tcPr>
          <w:p w14:paraId="43E8BFA4"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At 31 December 2020</w:t>
            </w:r>
          </w:p>
        </w:tc>
        <w:tc>
          <w:tcPr>
            <w:tcW w:w="521" w:type="dxa"/>
            <w:tcBorders>
              <w:top w:val="nil"/>
              <w:left w:val="nil"/>
              <w:bottom w:val="single" w:sz="8" w:space="0" w:color="auto"/>
              <w:right w:val="nil"/>
            </w:tcBorders>
            <w:tcMar>
              <w:top w:w="0" w:type="dxa"/>
              <w:left w:w="108" w:type="dxa"/>
              <w:bottom w:w="0" w:type="dxa"/>
              <w:right w:w="108" w:type="dxa"/>
            </w:tcMar>
            <w:hideMark/>
          </w:tcPr>
          <w:p w14:paraId="530CC0C2"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195</w:t>
            </w:r>
          </w:p>
        </w:tc>
        <w:tc>
          <w:tcPr>
            <w:tcW w:w="68" w:type="dxa"/>
            <w:tcMar>
              <w:top w:w="0" w:type="dxa"/>
              <w:left w:w="108" w:type="dxa"/>
              <w:bottom w:w="0" w:type="dxa"/>
              <w:right w:w="108" w:type="dxa"/>
            </w:tcMar>
            <w:hideMark/>
          </w:tcPr>
          <w:p w14:paraId="2B4BA593" w14:textId="77777777" w:rsidR="006E5C07" w:rsidRPr="006E5C07" w:rsidRDefault="006E5C07" w:rsidP="006E5C07">
            <w:pPr>
              <w:spacing w:after="0" w:line="240" w:lineRule="auto"/>
              <w:jc w:val="right"/>
              <w:rPr>
                <w:rFonts w:ascii="Calibri" w:eastAsia="Times New Roman" w:hAnsi="Calibri" w:cs="Calibri"/>
                <w:b/>
                <w:bCs/>
              </w:rPr>
            </w:pPr>
          </w:p>
        </w:tc>
        <w:tc>
          <w:tcPr>
            <w:tcW w:w="776" w:type="dxa"/>
            <w:tcBorders>
              <w:top w:val="nil"/>
              <w:left w:val="nil"/>
              <w:bottom w:val="single" w:sz="8" w:space="0" w:color="auto"/>
              <w:right w:val="nil"/>
            </w:tcBorders>
            <w:tcMar>
              <w:top w:w="0" w:type="dxa"/>
              <w:left w:w="108" w:type="dxa"/>
              <w:bottom w:w="0" w:type="dxa"/>
              <w:right w:w="108" w:type="dxa"/>
            </w:tcMar>
            <w:hideMark/>
          </w:tcPr>
          <w:p w14:paraId="101BBCBD"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4,868</w:t>
            </w:r>
          </w:p>
        </w:tc>
        <w:tc>
          <w:tcPr>
            <w:tcW w:w="67" w:type="dxa"/>
            <w:tcMar>
              <w:top w:w="0" w:type="dxa"/>
              <w:left w:w="108" w:type="dxa"/>
              <w:bottom w:w="0" w:type="dxa"/>
              <w:right w:w="108" w:type="dxa"/>
            </w:tcMar>
            <w:hideMark/>
          </w:tcPr>
          <w:p w14:paraId="13246B51" w14:textId="77777777" w:rsidR="006E5C07" w:rsidRPr="006E5C07" w:rsidRDefault="006E5C07" w:rsidP="006E5C07">
            <w:pPr>
              <w:spacing w:after="0" w:line="240" w:lineRule="auto"/>
              <w:jc w:val="right"/>
              <w:rPr>
                <w:rFonts w:ascii="Calibri" w:eastAsia="Times New Roman" w:hAnsi="Calibri" w:cs="Calibri"/>
                <w:b/>
                <w:bCs/>
              </w:rPr>
            </w:pPr>
          </w:p>
        </w:tc>
        <w:tc>
          <w:tcPr>
            <w:tcW w:w="635" w:type="dxa"/>
            <w:tcBorders>
              <w:top w:val="nil"/>
              <w:left w:val="nil"/>
              <w:bottom w:val="single" w:sz="8" w:space="0" w:color="auto"/>
              <w:right w:val="nil"/>
            </w:tcBorders>
            <w:tcMar>
              <w:top w:w="0" w:type="dxa"/>
              <w:left w:w="108" w:type="dxa"/>
              <w:bottom w:w="0" w:type="dxa"/>
              <w:right w:w="108" w:type="dxa"/>
            </w:tcMar>
            <w:hideMark/>
          </w:tcPr>
          <w:p w14:paraId="7735AEE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233</w:t>
            </w:r>
          </w:p>
        </w:tc>
        <w:tc>
          <w:tcPr>
            <w:tcW w:w="67" w:type="dxa"/>
            <w:tcMar>
              <w:top w:w="0" w:type="dxa"/>
              <w:left w:w="108" w:type="dxa"/>
              <w:bottom w:w="0" w:type="dxa"/>
              <w:right w:w="108" w:type="dxa"/>
            </w:tcMar>
            <w:hideMark/>
          </w:tcPr>
          <w:p w14:paraId="6184DC9E" w14:textId="77777777" w:rsidR="006E5C07" w:rsidRPr="006E5C07" w:rsidRDefault="006E5C07" w:rsidP="006E5C07">
            <w:pPr>
              <w:spacing w:after="0" w:line="240" w:lineRule="auto"/>
              <w:jc w:val="right"/>
              <w:rPr>
                <w:rFonts w:ascii="Calibri" w:eastAsia="Times New Roman" w:hAnsi="Calibri" w:cs="Calibri"/>
                <w:b/>
                <w:bCs/>
              </w:rPr>
            </w:pPr>
          </w:p>
        </w:tc>
        <w:tc>
          <w:tcPr>
            <w:tcW w:w="777" w:type="dxa"/>
            <w:tcBorders>
              <w:top w:val="nil"/>
              <w:left w:val="nil"/>
              <w:bottom w:val="single" w:sz="8" w:space="0" w:color="auto"/>
              <w:right w:val="nil"/>
            </w:tcBorders>
            <w:tcMar>
              <w:top w:w="0" w:type="dxa"/>
              <w:left w:w="108" w:type="dxa"/>
              <w:bottom w:w="0" w:type="dxa"/>
              <w:right w:w="108" w:type="dxa"/>
            </w:tcMar>
            <w:hideMark/>
          </w:tcPr>
          <w:p w14:paraId="4110727D"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(587)</w:t>
            </w:r>
          </w:p>
        </w:tc>
        <w:tc>
          <w:tcPr>
            <w:tcW w:w="67" w:type="dxa"/>
            <w:tcMar>
              <w:top w:w="0" w:type="dxa"/>
              <w:left w:w="108" w:type="dxa"/>
              <w:bottom w:w="0" w:type="dxa"/>
              <w:right w:w="108" w:type="dxa"/>
            </w:tcMar>
            <w:hideMark/>
          </w:tcPr>
          <w:p w14:paraId="2F04FE20" w14:textId="77777777" w:rsidR="006E5C07" w:rsidRPr="006E5C07" w:rsidRDefault="006E5C07" w:rsidP="006E5C07">
            <w:pPr>
              <w:spacing w:after="0" w:line="240" w:lineRule="auto"/>
              <w:jc w:val="right"/>
              <w:rPr>
                <w:rFonts w:ascii="Calibri" w:eastAsia="Times New Roman" w:hAnsi="Calibri" w:cs="Calibri"/>
                <w:b/>
                <w:bCs/>
              </w:rPr>
            </w:pPr>
          </w:p>
        </w:tc>
        <w:tc>
          <w:tcPr>
            <w:tcW w:w="918" w:type="dxa"/>
            <w:tcBorders>
              <w:top w:val="nil"/>
              <w:left w:val="nil"/>
              <w:bottom w:val="single" w:sz="8" w:space="0" w:color="auto"/>
              <w:right w:val="nil"/>
            </w:tcBorders>
            <w:tcMar>
              <w:top w:w="0" w:type="dxa"/>
              <w:left w:w="108" w:type="dxa"/>
              <w:bottom w:w="0" w:type="dxa"/>
              <w:right w:w="108" w:type="dxa"/>
            </w:tcMar>
            <w:hideMark/>
          </w:tcPr>
          <w:p w14:paraId="6D95EDDC"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(24)</w:t>
            </w:r>
          </w:p>
        </w:tc>
        <w:tc>
          <w:tcPr>
            <w:tcW w:w="68" w:type="dxa"/>
            <w:tcMar>
              <w:top w:w="0" w:type="dxa"/>
              <w:left w:w="108" w:type="dxa"/>
              <w:bottom w:w="0" w:type="dxa"/>
              <w:right w:w="108" w:type="dxa"/>
            </w:tcMar>
            <w:hideMark/>
          </w:tcPr>
          <w:p w14:paraId="2BD301C4" w14:textId="77777777" w:rsidR="006E5C07" w:rsidRPr="006E5C07" w:rsidRDefault="006E5C07" w:rsidP="006E5C07">
            <w:pPr>
              <w:spacing w:after="0" w:line="240" w:lineRule="auto"/>
              <w:jc w:val="right"/>
              <w:rPr>
                <w:rFonts w:ascii="Calibri" w:eastAsia="Times New Roman" w:hAnsi="Calibri" w:cs="Calibri"/>
                <w:b/>
                <w:bCs/>
              </w:rPr>
            </w:pPr>
          </w:p>
        </w:tc>
        <w:tc>
          <w:tcPr>
            <w:tcW w:w="776" w:type="dxa"/>
            <w:tcBorders>
              <w:top w:val="nil"/>
              <w:left w:val="nil"/>
              <w:bottom w:val="single" w:sz="8" w:space="0" w:color="auto"/>
              <w:right w:val="nil"/>
            </w:tcBorders>
            <w:tcMar>
              <w:top w:w="0" w:type="dxa"/>
              <w:left w:w="108" w:type="dxa"/>
              <w:bottom w:w="0" w:type="dxa"/>
              <w:right w:w="108" w:type="dxa"/>
            </w:tcMar>
            <w:hideMark/>
          </w:tcPr>
          <w:p w14:paraId="58F784F5"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4,685</w:t>
            </w:r>
          </w:p>
        </w:tc>
      </w:tr>
    </w:tbl>
    <w:p w14:paraId="6C7E2B70" w14:textId="77777777" w:rsidR="006E5C07" w:rsidRPr="006E5C07" w:rsidRDefault="006E5C07" w:rsidP="006E5C07">
      <w:pPr>
        <w:spacing w:after="200" w:line="253" w:lineRule="atLeast"/>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3F555396" w14:textId="77777777" w:rsidR="006E5C07" w:rsidRPr="006E5C07" w:rsidRDefault="006E5C07" w:rsidP="006E5C07">
      <w:pPr>
        <w:spacing w:after="200" w:line="253" w:lineRule="atLeast"/>
        <w:rPr>
          <w:rFonts w:ascii="Calibri" w:eastAsia="Times New Roman" w:hAnsi="Calibri" w:cs="Calibri"/>
          <w:color w:val="16202C"/>
        </w:rPr>
      </w:pPr>
      <w:r w:rsidRPr="006E5C07">
        <w:rPr>
          <w:rFonts w:ascii="Gill Sans MT" w:eastAsia="Times New Roman" w:hAnsi="Gill Sans MT" w:cs="Calibri"/>
          <w:color w:val="16202C"/>
          <w:sz w:val="18"/>
          <w:szCs w:val="18"/>
        </w:rPr>
        <w:t>*              See note 2 for details regarding the restatement as the result of the change in revenue recognition policy.       </w:t>
      </w:r>
    </w:p>
    <w:p w14:paraId="47746A8C" w14:textId="77777777" w:rsidR="006E5C07" w:rsidRPr="006E5C07" w:rsidRDefault="006E5C07" w:rsidP="006E5C07">
      <w:pPr>
        <w:spacing w:after="200" w:line="253" w:lineRule="atLeast"/>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58285A85" w14:textId="77777777" w:rsidR="006E5C07" w:rsidRPr="006E5C07" w:rsidRDefault="006E5C07" w:rsidP="006E5C07">
      <w:pPr>
        <w:spacing w:after="200" w:line="253" w:lineRule="atLeast"/>
        <w:rPr>
          <w:rFonts w:ascii="Calibri" w:eastAsia="Times New Roman" w:hAnsi="Calibri" w:cs="Calibri"/>
          <w:color w:val="16202C"/>
          <w:u w:val="single"/>
        </w:rPr>
      </w:pPr>
      <w:r w:rsidRPr="006E5C07">
        <w:rPr>
          <w:rFonts w:ascii="Gill Sans MT" w:eastAsia="Times New Roman" w:hAnsi="Gill Sans MT" w:cs="Calibri"/>
          <w:color w:val="16202C"/>
          <w:sz w:val="18"/>
          <w:szCs w:val="18"/>
          <w:u w:val="single"/>
        </w:rPr>
        <w:lastRenderedPageBreak/>
        <w:t>Notes to the Financial Statements</w:t>
      </w:r>
    </w:p>
    <w:p w14:paraId="1F257C1B" w14:textId="77777777" w:rsidR="006E5C07" w:rsidRPr="006E5C07" w:rsidRDefault="006E5C07" w:rsidP="006E5C07">
      <w:pPr>
        <w:spacing w:after="200" w:line="253" w:lineRule="atLeast"/>
        <w:rPr>
          <w:rFonts w:ascii="Calibri" w:eastAsia="Times New Roman" w:hAnsi="Calibri" w:cs="Calibri"/>
          <w:color w:val="16202C"/>
          <w:u w:val="single"/>
        </w:rPr>
      </w:pPr>
      <w:r w:rsidRPr="006E5C07">
        <w:rPr>
          <w:rFonts w:ascii="Gill Sans MT" w:eastAsia="Times New Roman" w:hAnsi="Gill Sans MT" w:cs="Calibri"/>
          <w:color w:val="16202C"/>
          <w:sz w:val="18"/>
          <w:szCs w:val="18"/>
          <w:u w:val="single"/>
        </w:rPr>
        <w:t>For the 12 months ended 31 December 2020</w:t>
      </w:r>
    </w:p>
    <w:p w14:paraId="7C16DED6" w14:textId="77777777" w:rsidR="006E5C07" w:rsidRPr="006E5C07" w:rsidRDefault="006E5C07" w:rsidP="006E5C07">
      <w:pPr>
        <w:spacing w:after="0" w:line="240" w:lineRule="auto"/>
        <w:ind w:hanging="567"/>
        <w:jc w:val="both"/>
        <w:rPr>
          <w:rFonts w:ascii="Calibri" w:eastAsia="Times New Roman" w:hAnsi="Calibri" w:cs="Calibri"/>
          <w:color w:val="16202C"/>
        </w:rPr>
      </w:pPr>
      <w:r w:rsidRPr="006E5C07">
        <w:rPr>
          <w:rFonts w:ascii="Gill Sans MT" w:eastAsia="Times New Roman" w:hAnsi="Gill Sans MT" w:cs="Calibri"/>
          <w:b/>
          <w:bCs/>
          <w:color w:val="16202C"/>
          <w:sz w:val="18"/>
          <w:szCs w:val="18"/>
        </w:rPr>
        <w:t>1.         General information</w:t>
      </w:r>
    </w:p>
    <w:p w14:paraId="146FBF71"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1E1003BB"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SpaceandPeople plc is a public limited company incorporated and domiciled in Scotland (registered number SC212277) which is listed on AIM (dealing code SAL).</w:t>
      </w:r>
    </w:p>
    <w:p w14:paraId="676BE0D1"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309CA17F" w14:textId="77777777" w:rsidR="006E5C07" w:rsidRPr="006E5C07" w:rsidRDefault="006E5C07" w:rsidP="006E5C07">
      <w:pPr>
        <w:spacing w:after="0" w:line="240" w:lineRule="auto"/>
        <w:ind w:hanging="567"/>
        <w:jc w:val="both"/>
        <w:rPr>
          <w:rFonts w:ascii="Calibri" w:eastAsia="Times New Roman" w:hAnsi="Calibri" w:cs="Calibri"/>
          <w:color w:val="16202C"/>
        </w:rPr>
      </w:pPr>
      <w:r w:rsidRPr="006E5C07">
        <w:rPr>
          <w:rFonts w:ascii="Gill Sans MT" w:eastAsia="Times New Roman" w:hAnsi="Gill Sans MT" w:cs="Calibri"/>
          <w:b/>
          <w:bCs/>
          <w:color w:val="16202C"/>
          <w:sz w:val="18"/>
          <w:szCs w:val="18"/>
        </w:rPr>
        <w:t>2.         Basis of preparation</w:t>
      </w:r>
    </w:p>
    <w:p w14:paraId="03EC4A60"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1AEDF20F"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Group's financial statements for the period ended 31 December 2020 and for the comparative period ended 31 December 2019 have been prepared on a going concern basis under the historical cost convention in accordance with International Financial Reporting Standards (IFRS) as adopted by the European Union (EU) and International Financial Reporting Interpretations Committee (IFRIC) interpretations, and with those parts of the Companies Act 2006 applicable to companies reporting under IFRS.</w:t>
      </w:r>
    </w:p>
    <w:p w14:paraId="356BF13B"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09123EBA"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Going Concern</w:t>
      </w:r>
    </w:p>
    <w:p w14:paraId="1BFD1454"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57019B2D"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000000"/>
          <w:sz w:val="18"/>
          <w:szCs w:val="18"/>
        </w:rPr>
        <w:t>The Directors are required to prepare the statutory financial statements on the going concern basis unless it is inappropriate to presume that the Group will continue in business. In satisfaction of this responsibility the Directors have considered the Group's ability to meet its liabilities as they fall due.</w:t>
      </w:r>
    </w:p>
    <w:p w14:paraId="73AB042E"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000000"/>
          <w:sz w:val="18"/>
          <w:szCs w:val="18"/>
        </w:rPr>
        <w:t> </w:t>
      </w:r>
    </w:p>
    <w:p w14:paraId="02CC5C10"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000000"/>
          <w:sz w:val="18"/>
          <w:szCs w:val="18"/>
        </w:rPr>
        <w:t>The Group meets its day-to-day cash requirements through working capital management and the use of existing bank overdraft and loan facilities. Management information tools including budgets and cash flow forecasts are used to monitor and manage current and future liquidity.</w:t>
      </w:r>
    </w:p>
    <w:p w14:paraId="74F49552"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000000"/>
          <w:sz w:val="18"/>
          <w:szCs w:val="18"/>
        </w:rPr>
        <w:t> </w:t>
      </w:r>
    </w:p>
    <w:p w14:paraId="66115DE1"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000000"/>
          <w:sz w:val="18"/>
          <w:szCs w:val="18"/>
        </w:rPr>
        <w:t>The Group continues to pay special attention to the ongoing Covid-19 pandemic and the associated impact on the business, including:</w:t>
      </w:r>
    </w:p>
    <w:p w14:paraId="434B71A8" w14:textId="77777777" w:rsidR="006E5C07" w:rsidRPr="006E5C07" w:rsidRDefault="006E5C07" w:rsidP="006E5C07">
      <w:pPr>
        <w:spacing w:after="0" w:line="276" w:lineRule="atLeast"/>
        <w:ind w:left="2160" w:hanging="360"/>
        <w:jc w:val="both"/>
        <w:rPr>
          <w:rFonts w:ascii="Roboto Light" w:eastAsia="Times New Roman" w:hAnsi="Roboto Light" w:cs="Times New Roman"/>
          <w:color w:val="16202C"/>
          <w:sz w:val="24"/>
          <w:szCs w:val="24"/>
        </w:rPr>
      </w:pPr>
      <w:r w:rsidRPr="006E5C07">
        <w:rPr>
          <w:rFonts w:ascii="Roboto Light" w:eastAsia="Times New Roman" w:hAnsi="Roboto Light" w:cs="Times New Roman"/>
          <w:color w:val="000000"/>
          <w:sz w:val="18"/>
          <w:szCs w:val="18"/>
        </w:rPr>
        <w:t>-       </w:t>
      </w:r>
      <w:r w:rsidRPr="006E5C07">
        <w:rPr>
          <w:rFonts w:ascii="Gill Sans MT" w:eastAsia="Times New Roman" w:hAnsi="Gill Sans MT" w:cs="Times New Roman"/>
          <w:color w:val="000000"/>
          <w:sz w:val="18"/>
          <w:szCs w:val="18"/>
        </w:rPr>
        <w:t>The availability of venues and space to sell on behalf of our customers;</w:t>
      </w:r>
    </w:p>
    <w:p w14:paraId="4054099B" w14:textId="77777777" w:rsidR="006E5C07" w:rsidRPr="006E5C07" w:rsidRDefault="006E5C07" w:rsidP="006E5C07">
      <w:pPr>
        <w:spacing w:after="0" w:line="276" w:lineRule="atLeast"/>
        <w:ind w:left="2160" w:hanging="360"/>
        <w:jc w:val="both"/>
        <w:rPr>
          <w:rFonts w:ascii="Roboto Light" w:eastAsia="Times New Roman" w:hAnsi="Roboto Light" w:cs="Times New Roman"/>
          <w:color w:val="16202C"/>
          <w:sz w:val="24"/>
          <w:szCs w:val="24"/>
        </w:rPr>
      </w:pPr>
      <w:r w:rsidRPr="006E5C07">
        <w:rPr>
          <w:rFonts w:ascii="Roboto Light" w:eastAsia="Times New Roman" w:hAnsi="Roboto Light" w:cs="Times New Roman"/>
          <w:color w:val="16202C"/>
          <w:sz w:val="18"/>
          <w:szCs w:val="18"/>
        </w:rPr>
        <w:t>-       </w:t>
      </w:r>
      <w:r w:rsidRPr="006E5C07">
        <w:rPr>
          <w:rFonts w:ascii="Gill Sans MT" w:eastAsia="Times New Roman" w:hAnsi="Gill Sans MT" w:cs="Times New Roman"/>
          <w:color w:val="000000"/>
          <w:sz w:val="18"/>
          <w:szCs w:val="18"/>
        </w:rPr>
        <w:t>Interruption to operations due to an absence of staff for a period due to either contracting the virus or government measures implemented to control outbreaks; and</w:t>
      </w:r>
    </w:p>
    <w:p w14:paraId="73015566" w14:textId="77777777" w:rsidR="006E5C07" w:rsidRPr="006E5C07" w:rsidRDefault="006E5C07" w:rsidP="006E5C07">
      <w:pPr>
        <w:spacing w:after="0" w:line="276" w:lineRule="atLeast"/>
        <w:ind w:left="2160" w:hanging="360"/>
        <w:jc w:val="both"/>
        <w:rPr>
          <w:rFonts w:ascii="Roboto Light" w:eastAsia="Times New Roman" w:hAnsi="Roboto Light" w:cs="Times New Roman"/>
          <w:color w:val="16202C"/>
          <w:sz w:val="24"/>
          <w:szCs w:val="24"/>
        </w:rPr>
      </w:pPr>
      <w:r w:rsidRPr="006E5C07">
        <w:rPr>
          <w:rFonts w:ascii="Roboto Light" w:eastAsia="Times New Roman" w:hAnsi="Roboto Light" w:cs="Times New Roman"/>
          <w:color w:val="000000"/>
          <w:sz w:val="18"/>
          <w:szCs w:val="18"/>
        </w:rPr>
        <w:t>-       </w:t>
      </w:r>
      <w:r w:rsidRPr="006E5C07">
        <w:rPr>
          <w:rFonts w:ascii="Gill Sans MT" w:eastAsia="Times New Roman" w:hAnsi="Gill Sans MT" w:cs="Times New Roman"/>
          <w:color w:val="000000"/>
          <w:sz w:val="18"/>
          <w:szCs w:val="18"/>
        </w:rPr>
        <w:t>A fall in revenue and decreased cash flow due to lockdowns.</w:t>
      </w:r>
    </w:p>
    <w:p w14:paraId="15361EF2"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000000"/>
          <w:sz w:val="18"/>
          <w:szCs w:val="18"/>
        </w:rPr>
        <w:t> </w:t>
      </w:r>
    </w:p>
    <w:p w14:paraId="584DEB2D" w14:textId="77777777" w:rsidR="006E5C07" w:rsidRPr="006E5C07" w:rsidRDefault="006E5C07" w:rsidP="006E5C07">
      <w:pPr>
        <w:spacing w:before="120" w:after="120" w:line="253" w:lineRule="atLeast"/>
        <w:jc w:val="both"/>
        <w:rPr>
          <w:rFonts w:ascii="Calibri" w:eastAsia="Times New Roman" w:hAnsi="Calibri" w:cs="Calibri"/>
          <w:color w:val="16202C"/>
        </w:rPr>
      </w:pPr>
      <w:r w:rsidRPr="006E5C07">
        <w:rPr>
          <w:rFonts w:ascii="Gill Sans MT" w:eastAsia="Times New Roman" w:hAnsi="Gill Sans MT" w:cs="Calibri"/>
          <w:color w:val="000000"/>
          <w:sz w:val="18"/>
          <w:szCs w:val="18"/>
        </w:rPr>
        <w:t>The current and future financial position of the Group, its cash flows and liquidity position continue to be reviewed by the Directors. They take a prudent view on the likely recovery in each of the Group's divisions and have stress tested these assumptions to ensure that cash flows and liquidity are sufficiently robust to allow the Group to continue to trade during  this period.</w:t>
      </w:r>
    </w:p>
    <w:p w14:paraId="4043FF34" w14:textId="77777777" w:rsidR="006E5C07" w:rsidRPr="006E5C07" w:rsidRDefault="006E5C07" w:rsidP="006E5C07">
      <w:pPr>
        <w:spacing w:before="120" w:after="120" w:line="253" w:lineRule="atLeast"/>
        <w:jc w:val="both"/>
        <w:rPr>
          <w:rFonts w:ascii="Calibri" w:eastAsia="Times New Roman" w:hAnsi="Calibri" w:cs="Calibri"/>
          <w:color w:val="16202C"/>
        </w:rPr>
      </w:pPr>
      <w:r w:rsidRPr="006E5C07">
        <w:rPr>
          <w:rFonts w:ascii="Gill Sans MT" w:eastAsia="Times New Roman" w:hAnsi="Gill Sans MT" w:cs="Calibri"/>
          <w:color w:val="000000"/>
          <w:sz w:val="18"/>
          <w:szCs w:val="18"/>
        </w:rPr>
        <w:t>The Group continues to manage its cash flows prudently through a number of methods, including:</w:t>
      </w:r>
    </w:p>
    <w:p w14:paraId="0BA25046" w14:textId="77777777" w:rsidR="006E5C07" w:rsidRPr="006E5C07" w:rsidRDefault="006E5C07" w:rsidP="006E5C07">
      <w:pPr>
        <w:spacing w:before="120" w:after="120" w:line="235" w:lineRule="atLeast"/>
        <w:ind w:left="2160" w:hanging="360"/>
        <w:jc w:val="both"/>
        <w:rPr>
          <w:rFonts w:ascii="Calibri" w:eastAsia="Times New Roman" w:hAnsi="Calibri" w:cs="Calibri"/>
          <w:color w:val="16202C"/>
        </w:rPr>
      </w:pPr>
      <w:r w:rsidRPr="006E5C07">
        <w:rPr>
          <w:rFonts w:ascii="Symbol" w:eastAsia="Times New Roman" w:hAnsi="Symbol" w:cs="Calibri"/>
          <w:color w:val="000000"/>
          <w:sz w:val="18"/>
          <w:szCs w:val="18"/>
        </w:rPr>
        <w:t>·      </w:t>
      </w:r>
      <w:r w:rsidRPr="006E5C07">
        <w:rPr>
          <w:rFonts w:ascii="Gill Sans MT" w:eastAsia="Times New Roman" w:hAnsi="Gill Sans MT" w:cs="Calibri"/>
          <w:color w:val="000000"/>
          <w:sz w:val="18"/>
          <w:szCs w:val="18"/>
        </w:rPr>
        <w:t>The JRS in the UK and the German equivalent for staff based there;</w:t>
      </w:r>
    </w:p>
    <w:p w14:paraId="6CEE53DC" w14:textId="77777777" w:rsidR="006E5C07" w:rsidRPr="006E5C07" w:rsidRDefault="006E5C07" w:rsidP="006E5C07">
      <w:pPr>
        <w:spacing w:before="120" w:after="120" w:line="235" w:lineRule="atLeast"/>
        <w:ind w:left="2160" w:hanging="360"/>
        <w:jc w:val="both"/>
        <w:rPr>
          <w:rFonts w:ascii="Calibri" w:eastAsia="Times New Roman" w:hAnsi="Calibri" w:cs="Calibri"/>
          <w:color w:val="16202C"/>
        </w:rPr>
      </w:pPr>
      <w:r w:rsidRPr="006E5C07">
        <w:rPr>
          <w:rFonts w:ascii="Symbol" w:eastAsia="Times New Roman" w:hAnsi="Symbol" w:cs="Calibri"/>
          <w:color w:val="000000"/>
          <w:sz w:val="18"/>
          <w:szCs w:val="18"/>
        </w:rPr>
        <w:t>·      </w:t>
      </w:r>
      <w:r w:rsidRPr="006E5C07">
        <w:rPr>
          <w:rFonts w:ascii="Gill Sans MT" w:eastAsia="Times New Roman" w:hAnsi="Gill Sans MT" w:cs="Calibri"/>
          <w:color w:val="000000"/>
          <w:sz w:val="18"/>
          <w:szCs w:val="18"/>
        </w:rPr>
        <w:t>Availability of £2.0 million of term loans and £0.75 million of overdraft facilities through the CBIL scheme;</w:t>
      </w:r>
    </w:p>
    <w:p w14:paraId="0E14153D" w14:textId="77777777" w:rsidR="006E5C07" w:rsidRPr="006E5C07" w:rsidRDefault="006E5C07" w:rsidP="006E5C07">
      <w:pPr>
        <w:spacing w:before="120" w:after="120" w:line="235" w:lineRule="atLeast"/>
        <w:ind w:left="2160" w:hanging="360"/>
        <w:jc w:val="both"/>
        <w:rPr>
          <w:rFonts w:ascii="Calibri" w:eastAsia="Times New Roman" w:hAnsi="Calibri" w:cs="Calibri"/>
          <w:color w:val="16202C"/>
        </w:rPr>
      </w:pPr>
      <w:r w:rsidRPr="006E5C07">
        <w:rPr>
          <w:rFonts w:ascii="Symbol" w:eastAsia="Times New Roman" w:hAnsi="Symbol" w:cs="Calibri"/>
          <w:color w:val="000000"/>
          <w:sz w:val="18"/>
          <w:szCs w:val="18"/>
        </w:rPr>
        <w:t>·      </w:t>
      </w:r>
      <w:r w:rsidRPr="006E5C07">
        <w:rPr>
          <w:rFonts w:ascii="Gill Sans MT" w:eastAsia="Times New Roman" w:hAnsi="Gill Sans MT" w:cs="Calibri"/>
          <w:color w:val="000000"/>
          <w:sz w:val="18"/>
          <w:szCs w:val="18"/>
        </w:rPr>
        <w:t>Suspension of minimum income guarantees with landlords; and</w:t>
      </w:r>
    </w:p>
    <w:p w14:paraId="337F7172" w14:textId="77777777" w:rsidR="006E5C07" w:rsidRPr="006E5C07" w:rsidRDefault="006E5C07" w:rsidP="006E5C07">
      <w:pPr>
        <w:spacing w:before="120" w:after="120" w:line="235" w:lineRule="atLeast"/>
        <w:ind w:left="2160" w:hanging="360"/>
        <w:jc w:val="both"/>
        <w:rPr>
          <w:rFonts w:ascii="Calibri" w:eastAsia="Times New Roman" w:hAnsi="Calibri" w:cs="Calibri"/>
          <w:color w:val="16202C"/>
        </w:rPr>
      </w:pPr>
      <w:r w:rsidRPr="006E5C07">
        <w:rPr>
          <w:rFonts w:ascii="Symbol" w:eastAsia="Times New Roman" w:hAnsi="Symbol" w:cs="Calibri"/>
          <w:color w:val="000000"/>
          <w:sz w:val="18"/>
          <w:szCs w:val="18"/>
        </w:rPr>
        <w:t>·      </w:t>
      </w:r>
      <w:r w:rsidRPr="006E5C07">
        <w:rPr>
          <w:rFonts w:ascii="Gill Sans MT" w:eastAsia="Times New Roman" w:hAnsi="Gill Sans MT" w:cs="Calibri"/>
          <w:color w:val="000000"/>
          <w:sz w:val="18"/>
          <w:szCs w:val="18"/>
        </w:rPr>
        <w:t>Pausing planned discretionary capital expenditure.</w:t>
      </w:r>
    </w:p>
    <w:p w14:paraId="3B2FE34D" w14:textId="77777777" w:rsidR="006E5C07" w:rsidRPr="006E5C07" w:rsidRDefault="006E5C07" w:rsidP="006E5C07">
      <w:pPr>
        <w:spacing w:before="120" w:after="120" w:line="253" w:lineRule="atLeast"/>
        <w:jc w:val="both"/>
        <w:rPr>
          <w:rFonts w:ascii="Calibri" w:eastAsia="Times New Roman" w:hAnsi="Calibri" w:cs="Calibri"/>
          <w:color w:val="16202C"/>
        </w:rPr>
      </w:pPr>
      <w:r w:rsidRPr="006E5C07">
        <w:rPr>
          <w:rFonts w:ascii="Gill Sans MT" w:eastAsia="Times New Roman" w:hAnsi="Gill Sans MT" w:cs="Calibri"/>
          <w:color w:val="000000"/>
          <w:sz w:val="18"/>
          <w:szCs w:val="18"/>
        </w:rPr>
        <w:t>Since the end of 2020, the Group has refinanced its facilities with its principal banker.  The Group now has term loans in place that mature in 2025 and 2027 along with three-year overdraft facilities that are repayable on demand. New covenants are in place that reflect the current trading position and a prudent view of recovery from the pandemic.</w:t>
      </w:r>
    </w:p>
    <w:p w14:paraId="372FE65A"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000000"/>
          <w:sz w:val="18"/>
          <w:szCs w:val="18"/>
        </w:rPr>
        <w:t> </w:t>
      </w:r>
    </w:p>
    <w:p w14:paraId="43A4DB51"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Directors are confident that the additional funding facilities and support from our bankers will provide sufficient headroom to meet the forecast cash requirements.</w:t>
      </w:r>
      <w:r w:rsidRPr="006E5C07">
        <w:rPr>
          <w:rFonts w:ascii="Gill Sans MT" w:eastAsia="Times New Roman" w:hAnsi="Gill Sans MT" w:cs="Calibri"/>
          <w:color w:val="000000"/>
          <w:sz w:val="18"/>
          <w:szCs w:val="18"/>
        </w:rPr>
        <w:t> The Group's current and long-term forecast outlook has provided further assurance to the Directors regarding its financial position.</w:t>
      </w:r>
    </w:p>
    <w:p w14:paraId="267E9D5A"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000000"/>
          <w:sz w:val="18"/>
          <w:szCs w:val="18"/>
        </w:rPr>
        <w:t> </w:t>
      </w:r>
    </w:p>
    <w:p w14:paraId="626740E3"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000000"/>
          <w:sz w:val="18"/>
          <w:szCs w:val="18"/>
        </w:rPr>
        <w:t>As such, the Directors consider that it is appropriate to prepare the financial statements on the going concern basis.</w:t>
      </w:r>
    </w:p>
    <w:p w14:paraId="2E313156"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lastRenderedPageBreak/>
        <w:t> </w:t>
      </w:r>
    </w:p>
    <w:p w14:paraId="303E8729" w14:textId="77777777" w:rsidR="006E5C07" w:rsidRPr="006E5C07" w:rsidRDefault="006E5C07" w:rsidP="006E5C07">
      <w:pPr>
        <w:spacing w:after="0" w:line="240" w:lineRule="auto"/>
        <w:rPr>
          <w:rFonts w:ascii="Calibri" w:eastAsia="Times New Roman" w:hAnsi="Calibri" w:cs="Calibri"/>
          <w:b/>
          <w:bCs/>
          <w:color w:val="16202C"/>
        </w:rPr>
      </w:pPr>
      <w:r w:rsidRPr="006E5C07">
        <w:rPr>
          <w:rFonts w:ascii="Gill Sans MT" w:eastAsia="Times New Roman" w:hAnsi="Gill Sans MT" w:cs="Calibri"/>
          <w:b/>
          <w:bCs/>
          <w:color w:val="16202C"/>
          <w:sz w:val="18"/>
          <w:szCs w:val="18"/>
        </w:rPr>
        <w:t>Accounting developments</w:t>
      </w:r>
    </w:p>
    <w:p w14:paraId="69D3FE58" w14:textId="77777777" w:rsidR="006E5C07" w:rsidRPr="006E5C07" w:rsidRDefault="006E5C07" w:rsidP="006E5C07">
      <w:pPr>
        <w:spacing w:after="0" w:line="240" w:lineRule="auto"/>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04D156A1" w14:textId="77777777" w:rsidR="006E5C07" w:rsidRPr="006E5C07" w:rsidRDefault="006E5C07" w:rsidP="006E5C07">
      <w:pPr>
        <w:spacing w:after="0" w:line="240" w:lineRule="auto"/>
        <w:rPr>
          <w:rFonts w:ascii="Calibri" w:eastAsia="Times New Roman" w:hAnsi="Calibri" w:cs="Calibri"/>
          <w:b/>
          <w:bCs/>
          <w:color w:val="16202C"/>
        </w:rPr>
      </w:pPr>
      <w:r w:rsidRPr="006E5C07">
        <w:rPr>
          <w:rFonts w:ascii="Gill Sans MT" w:eastAsia="Times New Roman" w:hAnsi="Gill Sans MT" w:cs="Calibri"/>
          <w:b/>
          <w:bCs/>
          <w:color w:val="16202C"/>
          <w:sz w:val="18"/>
          <w:szCs w:val="18"/>
        </w:rPr>
        <w:t>New and revised IFRSs applied</w:t>
      </w:r>
    </w:p>
    <w:p w14:paraId="6DF51E1A" w14:textId="77777777" w:rsidR="006E5C07" w:rsidRPr="006E5C07" w:rsidRDefault="006E5C07" w:rsidP="006E5C07">
      <w:pPr>
        <w:spacing w:line="240" w:lineRule="auto"/>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2789"/>
        <w:gridCol w:w="2789"/>
        <w:gridCol w:w="2790"/>
      </w:tblGrid>
      <w:tr w:rsidR="006E5C07" w:rsidRPr="006E5C07" w14:paraId="4E4DBB8E" w14:textId="77777777" w:rsidTr="006E5C07">
        <w:tc>
          <w:tcPr>
            <w:tcW w:w="2789" w:type="dxa"/>
            <w:tcMar>
              <w:top w:w="0" w:type="dxa"/>
              <w:left w:w="108" w:type="dxa"/>
              <w:bottom w:w="0" w:type="dxa"/>
              <w:right w:w="108" w:type="dxa"/>
            </w:tcMar>
            <w:hideMark/>
          </w:tcPr>
          <w:p w14:paraId="6F90AD73" w14:textId="77777777" w:rsidR="006E5C07" w:rsidRPr="006E5C07" w:rsidRDefault="006E5C07" w:rsidP="006E5C07">
            <w:pPr>
              <w:spacing w:after="0" w:line="240" w:lineRule="auto"/>
              <w:rPr>
                <w:rFonts w:ascii="Calibri" w:eastAsia="Times New Roman" w:hAnsi="Calibri" w:cs="Calibri"/>
                <w:u w:val="single"/>
              </w:rPr>
            </w:pPr>
            <w:r w:rsidRPr="006E5C07">
              <w:rPr>
                <w:rFonts w:ascii="Gill Sans MT" w:eastAsia="Times New Roman" w:hAnsi="Gill Sans MT" w:cs="Calibri"/>
                <w:sz w:val="18"/>
                <w:szCs w:val="18"/>
                <w:u w:val="single"/>
              </w:rPr>
              <w:t>Title</w:t>
            </w:r>
          </w:p>
          <w:p w14:paraId="1C5B0519"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tc>
        <w:tc>
          <w:tcPr>
            <w:tcW w:w="2789" w:type="dxa"/>
            <w:tcMar>
              <w:top w:w="0" w:type="dxa"/>
              <w:left w:w="108" w:type="dxa"/>
              <w:bottom w:w="0" w:type="dxa"/>
              <w:right w:w="108" w:type="dxa"/>
            </w:tcMar>
            <w:hideMark/>
          </w:tcPr>
          <w:p w14:paraId="6ADF4E58" w14:textId="77777777" w:rsidR="006E5C07" w:rsidRPr="006E5C07" w:rsidRDefault="006E5C07" w:rsidP="006E5C07">
            <w:pPr>
              <w:spacing w:after="0" w:line="240" w:lineRule="auto"/>
              <w:rPr>
                <w:rFonts w:ascii="Calibri" w:eastAsia="Times New Roman" w:hAnsi="Calibri" w:cs="Calibri"/>
                <w:u w:val="single"/>
              </w:rPr>
            </w:pPr>
            <w:r w:rsidRPr="006E5C07">
              <w:rPr>
                <w:rFonts w:ascii="Gill Sans MT" w:eastAsia="Times New Roman" w:hAnsi="Gill Sans MT" w:cs="Calibri"/>
                <w:sz w:val="18"/>
                <w:szCs w:val="18"/>
                <w:u w:val="single"/>
              </w:rPr>
              <w:t>Implementation</w:t>
            </w:r>
          </w:p>
        </w:tc>
        <w:tc>
          <w:tcPr>
            <w:tcW w:w="2790" w:type="dxa"/>
            <w:tcMar>
              <w:top w:w="0" w:type="dxa"/>
              <w:left w:w="108" w:type="dxa"/>
              <w:bottom w:w="0" w:type="dxa"/>
              <w:right w:w="108" w:type="dxa"/>
            </w:tcMar>
            <w:hideMark/>
          </w:tcPr>
          <w:p w14:paraId="13CD8400" w14:textId="77777777" w:rsidR="006E5C07" w:rsidRPr="006E5C07" w:rsidRDefault="006E5C07" w:rsidP="006E5C07">
            <w:pPr>
              <w:spacing w:after="0" w:line="240" w:lineRule="auto"/>
              <w:rPr>
                <w:rFonts w:ascii="Calibri" w:eastAsia="Times New Roman" w:hAnsi="Calibri" w:cs="Calibri"/>
                <w:u w:val="single"/>
              </w:rPr>
            </w:pPr>
            <w:r w:rsidRPr="006E5C07">
              <w:rPr>
                <w:rFonts w:ascii="Gill Sans MT" w:eastAsia="Times New Roman" w:hAnsi="Gill Sans MT" w:cs="Calibri"/>
                <w:sz w:val="18"/>
                <w:szCs w:val="18"/>
                <w:u w:val="single"/>
              </w:rPr>
              <w:t>Effect on Group</w:t>
            </w:r>
          </w:p>
        </w:tc>
      </w:tr>
      <w:tr w:rsidR="006E5C07" w:rsidRPr="006E5C07" w14:paraId="58BD9630" w14:textId="77777777" w:rsidTr="006E5C07">
        <w:tc>
          <w:tcPr>
            <w:tcW w:w="2789" w:type="dxa"/>
            <w:tcMar>
              <w:top w:w="0" w:type="dxa"/>
              <w:left w:w="108" w:type="dxa"/>
              <w:bottom w:w="0" w:type="dxa"/>
              <w:right w:w="108" w:type="dxa"/>
            </w:tcMar>
            <w:hideMark/>
          </w:tcPr>
          <w:p w14:paraId="17212256"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t>Amendments to 'References to the Conceptual Framework in IFRS Standards'</w:t>
            </w:r>
          </w:p>
        </w:tc>
        <w:tc>
          <w:tcPr>
            <w:tcW w:w="2789" w:type="dxa"/>
            <w:tcMar>
              <w:top w:w="0" w:type="dxa"/>
              <w:left w:w="108" w:type="dxa"/>
              <w:bottom w:w="0" w:type="dxa"/>
              <w:right w:w="108" w:type="dxa"/>
            </w:tcMar>
            <w:hideMark/>
          </w:tcPr>
          <w:p w14:paraId="6D2EF85C"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t>Annual periods beginning on or after 1 January 2020</w:t>
            </w:r>
          </w:p>
        </w:tc>
        <w:tc>
          <w:tcPr>
            <w:tcW w:w="2790" w:type="dxa"/>
            <w:tcMar>
              <w:top w:w="0" w:type="dxa"/>
              <w:left w:w="108" w:type="dxa"/>
              <w:bottom w:w="0" w:type="dxa"/>
              <w:right w:w="108" w:type="dxa"/>
            </w:tcMar>
            <w:hideMark/>
          </w:tcPr>
          <w:p w14:paraId="3DFAC753" w14:textId="77777777" w:rsidR="006E5C07" w:rsidRPr="006E5C07" w:rsidRDefault="006E5C07" w:rsidP="006E5C07">
            <w:pPr>
              <w:spacing w:after="200" w:line="253" w:lineRule="atLeast"/>
              <w:jc w:val="both"/>
              <w:rPr>
                <w:rFonts w:ascii="Calibri" w:eastAsia="Times New Roman" w:hAnsi="Calibri" w:cs="Calibri"/>
              </w:rPr>
            </w:pPr>
            <w:r w:rsidRPr="006E5C07">
              <w:rPr>
                <w:rFonts w:ascii="Gill Sans MT" w:eastAsia="Times New Roman" w:hAnsi="Gill Sans MT" w:cs="Calibri"/>
                <w:sz w:val="18"/>
                <w:szCs w:val="18"/>
              </w:rPr>
              <w:t>There is no material impact on the financial statements.</w:t>
            </w:r>
          </w:p>
        </w:tc>
      </w:tr>
      <w:tr w:rsidR="006E5C07" w:rsidRPr="006E5C07" w14:paraId="32DD79EA" w14:textId="77777777" w:rsidTr="006E5C07">
        <w:tc>
          <w:tcPr>
            <w:tcW w:w="2789" w:type="dxa"/>
            <w:tcMar>
              <w:top w:w="0" w:type="dxa"/>
              <w:left w:w="108" w:type="dxa"/>
              <w:bottom w:w="0" w:type="dxa"/>
              <w:right w:w="108" w:type="dxa"/>
            </w:tcMar>
            <w:hideMark/>
          </w:tcPr>
          <w:p w14:paraId="7C37A3DF"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t>Interest Rate Benchmark Reform (Amendments to IFRS 9, IAS 39 and IFRS 7)</w:t>
            </w:r>
          </w:p>
        </w:tc>
        <w:tc>
          <w:tcPr>
            <w:tcW w:w="2789" w:type="dxa"/>
            <w:tcMar>
              <w:top w:w="0" w:type="dxa"/>
              <w:left w:w="108" w:type="dxa"/>
              <w:bottom w:w="0" w:type="dxa"/>
              <w:right w:w="108" w:type="dxa"/>
            </w:tcMar>
            <w:hideMark/>
          </w:tcPr>
          <w:p w14:paraId="7D96AC8D"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t>Annual periods beginning on or after 1 January 2020</w:t>
            </w:r>
          </w:p>
        </w:tc>
        <w:tc>
          <w:tcPr>
            <w:tcW w:w="2790" w:type="dxa"/>
            <w:tcMar>
              <w:top w:w="0" w:type="dxa"/>
              <w:left w:w="108" w:type="dxa"/>
              <w:bottom w:w="0" w:type="dxa"/>
              <w:right w:w="108" w:type="dxa"/>
            </w:tcMar>
            <w:hideMark/>
          </w:tcPr>
          <w:p w14:paraId="186697E2" w14:textId="77777777" w:rsidR="006E5C07" w:rsidRPr="006E5C07" w:rsidRDefault="006E5C07" w:rsidP="006E5C07">
            <w:pPr>
              <w:spacing w:after="200" w:line="253" w:lineRule="atLeast"/>
              <w:jc w:val="both"/>
              <w:rPr>
                <w:rFonts w:ascii="Calibri" w:eastAsia="Times New Roman" w:hAnsi="Calibri" w:cs="Calibri"/>
              </w:rPr>
            </w:pPr>
            <w:r w:rsidRPr="006E5C07">
              <w:rPr>
                <w:rFonts w:ascii="Gill Sans MT" w:eastAsia="Times New Roman" w:hAnsi="Gill Sans MT" w:cs="Calibri"/>
                <w:sz w:val="18"/>
                <w:szCs w:val="18"/>
              </w:rPr>
              <w:t>There is no material impact on the financial statements.</w:t>
            </w:r>
          </w:p>
        </w:tc>
      </w:tr>
      <w:tr w:rsidR="006E5C07" w:rsidRPr="006E5C07" w14:paraId="16221F15" w14:textId="77777777" w:rsidTr="006E5C07">
        <w:tc>
          <w:tcPr>
            <w:tcW w:w="2789" w:type="dxa"/>
            <w:tcMar>
              <w:top w:w="0" w:type="dxa"/>
              <w:left w:w="108" w:type="dxa"/>
              <w:bottom w:w="0" w:type="dxa"/>
              <w:right w:w="108" w:type="dxa"/>
            </w:tcMar>
            <w:hideMark/>
          </w:tcPr>
          <w:p w14:paraId="759AE46A"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t>Definition of a Business (Amendments to IFRS 3)</w:t>
            </w:r>
          </w:p>
        </w:tc>
        <w:tc>
          <w:tcPr>
            <w:tcW w:w="2789" w:type="dxa"/>
            <w:tcMar>
              <w:top w:w="0" w:type="dxa"/>
              <w:left w:w="108" w:type="dxa"/>
              <w:bottom w:w="0" w:type="dxa"/>
              <w:right w:w="108" w:type="dxa"/>
            </w:tcMar>
            <w:hideMark/>
          </w:tcPr>
          <w:p w14:paraId="5239B19D"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t>Annual periods beginning on or after 1 January 2020</w:t>
            </w:r>
          </w:p>
        </w:tc>
        <w:tc>
          <w:tcPr>
            <w:tcW w:w="2790" w:type="dxa"/>
            <w:tcMar>
              <w:top w:w="0" w:type="dxa"/>
              <w:left w:w="108" w:type="dxa"/>
              <w:bottom w:w="0" w:type="dxa"/>
              <w:right w:w="108" w:type="dxa"/>
            </w:tcMar>
            <w:hideMark/>
          </w:tcPr>
          <w:p w14:paraId="0A5FBEA9" w14:textId="77777777" w:rsidR="006E5C07" w:rsidRPr="006E5C07" w:rsidRDefault="006E5C07" w:rsidP="006E5C07">
            <w:pPr>
              <w:spacing w:after="200" w:line="253" w:lineRule="atLeast"/>
              <w:jc w:val="both"/>
              <w:rPr>
                <w:rFonts w:ascii="Calibri" w:eastAsia="Times New Roman" w:hAnsi="Calibri" w:cs="Calibri"/>
              </w:rPr>
            </w:pPr>
            <w:r w:rsidRPr="006E5C07">
              <w:rPr>
                <w:rFonts w:ascii="Gill Sans MT" w:eastAsia="Times New Roman" w:hAnsi="Gill Sans MT" w:cs="Calibri"/>
                <w:sz w:val="18"/>
                <w:szCs w:val="18"/>
              </w:rPr>
              <w:t>There is no material impact on the financial statements.</w:t>
            </w:r>
          </w:p>
        </w:tc>
      </w:tr>
      <w:tr w:rsidR="006E5C07" w:rsidRPr="006E5C07" w14:paraId="235AF880" w14:textId="77777777" w:rsidTr="006E5C07">
        <w:tc>
          <w:tcPr>
            <w:tcW w:w="2789" w:type="dxa"/>
            <w:tcMar>
              <w:top w:w="0" w:type="dxa"/>
              <w:left w:w="108" w:type="dxa"/>
              <w:bottom w:w="0" w:type="dxa"/>
              <w:right w:w="108" w:type="dxa"/>
            </w:tcMar>
            <w:hideMark/>
          </w:tcPr>
          <w:p w14:paraId="360F1942"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t>Definition of Material (Amendments to IAS 1 and IAS 8)</w:t>
            </w:r>
          </w:p>
        </w:tc>
        <w:tc>
          <w:tcPr>
            <w:tcW w:w="2789" w:type="dxa"/>
            <w:tcMar>
              <w:top w:w="0" w:type="dxa"/>
              <w:left w:w="108" w:type="dxa"/>
              <w:bottom w:w="0" w:type="dxa"/>
              <w:right w:w="108" w:type="dxa"/>
            </w:tcMar>
            <w:hideMark/>
          </w:tcPr>
          <w:p w14:paraId="7C48CE64"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t>Annual periods beginning on or after 1 January 2020</w:t>
            </w:r>
          </w:p>
        </w:tc>
        <w:tc>
          <w:tcPr>
            <w:tcW w:w="2790" w:type="dxa"/>
            <w:tcMar>
              <w:top w:w="0" w:type="dxa"/>
              <w:left w:w="108" w:type="dxa"/>
              <w:bottom w:w="0" w:type="dxa"/>
              <w:right w:w="108" w:type="dxa"/>
            </w:tcMar>
            <w:hideMark/>
          </w:tcPr>
          <w:p w14:paraId="1022D53B" w14:textId="77777777" w:rsidR="006E5C07" w:rsidRPr="006E5C07" w:rsidRDefault="006E5C07" w:rsidP="006E5C07">
            <w:pPr>
              <w:spacing w:after="200" w:line="253" w:lineRule="atLeast"/>
              <w:jc w:val="both"/>
              <w:rPr>
                <w:rFonts w:ascii="Calibri" w:eastAsia="Times New Roman" w:hAnsi="Calibri" w:cs="Calibri"/>
              </w:rPr>
            </w:pPr>
            <w:r w:rsidRPr="006E5C07">
              <w:rPr>
                <w:rFonts w:ascii="Gill Sans MT" w:eastAsia="Times New Roman" w:hAnsi="Gill Sans MT" w:cs="Calibri"/>
                <w:sz w:val="18"/>
                <w:szCs w:val="18"/>
              </w:rPr>
              <w:t>There is no material impact on the financial statements.</w:t>
            </w:r>
          </w:p>
        </w:tc>
      </w:tr>
      <w:tr w:rsidR="006E5C07" w:rsidRPr="006E5C07" w14:paraId="35A9DCC9" w14:textId="77777777" w:rsidTr="006E5C07">
        <w:tc>
          <w:tcPr>
            <w:tcW w:w="2789" w:type="dxa"/>
            <w:tcMar>
              <w:top w:w="0" w:type="dxa"/>
              <w:left w:w="108" w:type="dxa"/>
              <w:bottom w:w="0" w:type="dxa"/>
              <w:right w:w="108" w:type="dxa"/>
            </w:tcMar>
            <w:hideMark/>
          </w:tcPr>
          <w:p w14:paraId="73FC0596" w14:textId="77777777" w:rsidR="006E5C07" w:rsidRPr="006E5C07" w:rsidRDefault="006E5C07" w:rsidP="006E5C07">
            <w:pPr>
              <w:spacing w:after="0" w:line="240" w:lineRule="auto"/>
              <w:rPr>
                <w:rFonts w:ascii="Calibri" w:eastAsia="Times New Roman" w:hAnsi="Calibri" w:cs="Calibri"/>
              </w:rPr>
            </w:pPr>
          </w:p>
        </w:tc>
        <w:tc>
          <w:tcPr>
            <w:tcW w:w="2789" w:type="dxa"/>
            <w:tcMar>
              <w:top w:w="0" w:type="dxa"/>
              <w:left w:w="108" w:type="dxa"/>
              <w:bottom w:w="0" w:type="dxa"/>
              <w:right w:w="108" w:type="dxa"/>
            </w:tcMar>
            <w:hideMark/>
          </w:tcPr>
          <w:p w14:paraId="266F4973" w14:textId="77777777" w:rsidR="006E5C07" w:rsidRPr="006E5C07" w:rsidRDefault="006E5C07" w:rsidP="006E5C07">
            <w:pPr>
              <w:spacing w:after="0" w:line="240" w:lineRule="auto"/>
              <w:rPr>
                <w:rFonts w:ascii="Calibri" w:eastAsia="Times New Roman" w:hAnsi="Calibri" w:cs="Calibri"/>
              </w:rPr>
            </w:pPr>
          </w:p>
        </w:tc>
        <w:tc>
          <w:tcPr>
            <w:tcW w:w="2790" w:type="dxa"/>
            <w:tcMar>
              <w:top w:w="0" w:type="dxa"/>
              <w:left w:w="108" w:type="dxa"/>
              <w:bottom w:w="0" w:type="dxa"/>
              <w:right w:w="108" w:type="dxa"/>
            </w:tcMar>
            <w:hideMark/>
          </w:tcPr>
          <w:p w14:paraId="1661814B" w14:textId="77777777" w:rsidR="006E5C07" w:rsidRPr="006E5C07" w:rsidRDefault="006E5C07" w:rsidP="006E5C07">
            <w:pPr>
              <w:spacing w:after="0" w:line="240" w:lineRule="auto"/>
              <w:rPr>
                <w:rFonts w:ascii="Calibri" w:eastAsia="Times New Roman" w:hAnsi="Calibri" w:cs="Calibri"/>
              </w:rPr>
            </w:pPr>
          </w:p>
        </w:tc>
      </w:tr>
    </w:tbl>
    <w:p w14:paraId="5087C9E2" w14:textId="77777777" w:rsidR="006E5C07" w:rsidRPr="006E5C07" w:rsidRDefault="006E5C07" w:rsidP="006E5C07">
      <w:pPr>
        <w:spacing w:after="0" w:line="240" w:lineRule="auto"/>
        <w:rPr>
          <w:rFonts w:ascii="Calibri" w:eastAsia="Times New Roman" w:hAnsi="Calibri" w:cs="Calibri"/>
          <w:b/>
          <w:bCs/>
          <w:color w:val="16202C"/>
        </w:rPr>
      </w:pPr>
      <w:r w:rsidRPr="006E5C07">
        <w:rPr>
          <w:rFonts w:ascii="Gill Sans MT" w:eastAsia="Times New Roman" w:hAnsi="Gill Sans MT" w:cs="Calibri"/>
          <w:b/>
          <w:bCs/>
          <w:color w:val="16202C"/>
          <w:sz w:val="18"/>
          <w:szCs w:val="18"/>
        </w:rPr>
        <w:t>The following amendments will be introduced in future periods</w:t>
      </w:r>
    </w:p>
    <w:p w14:paraId="0458CC28" w14:textId="77777777" w:rsidR="006E5C07" w:rsidRPr="006E5C07" w:rsidRDefault="006E5C07" w:rsidP="006E5C07">
      <w:pPr>
        <w:spacing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2789"/>
        <w:gridCol w:w="2789"/>
        <w:gridCol w:w="2790"/>
      </w:tblGrid>
      <w:tr w:rsidR="006E5C07" w:rsidRPr="006E5C07" w14:paraId="1428EA21" w14:textId="77777777" w:rsidTr="006E5C07">
        <w:tc>
          <w:tcPr>
            <w:tcW w:w="2789" w:type="dxa"/>
            <w:tcMar>
              <w:top w:w="0" w:type="dxa"/>
              <w:left w:w="108" w:type="dxa"/>
              <w:bottom w:w="0" w:type="dxa"/>
              <w:right w:w="108" w:type="dxa"/>
            </w:tcMar>
            <w:hideMark/>
          </w:tcPr>
          <w:p w14:paraId="5D9CC0F8" w14:textId="77777777" w:rsidR="006E5C07" w:rsidRPr="006E5C07" w:rsidRDefault="006E5C07" w:rsidP="006E5C07">
            <w:pPr>
              <w:spacing w:after="0" w:line="240" w:lineRule="auto"/>
              <w:rPr>
                <w:rFonts w:ascii="Calibri" w:eastAsia="Times New Roman" w:hAnsi="Calibri" w:cs="Calibri"/>
                <w:u w:val="single"/>
              </w:rPr>
            </w:pPr>
            <w:r w:rsidRPr="006E5C07">
              <w:rPr>
                <w:rFonts w:ascii="Gill Sans MT" w:eastAsia="Times New Roman" w:hAnsi="Gill Sans MT" w:cs="Calibri"/>
                <w:sz w:val="18"/>
                <w:szCs w:val="18"/>
                <w:u w:val="single"/>
              </w:rPr>
              <w:t>Title</w:t>
            </w:r>
          </w:p>
          <w:p w14:paraId="61A3CAE6"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tc>
        <w:tc>
          <w:tcPr>
            <w:tcW w:w="2789" w:type="dxa"/>
            <w:tcMar>
              <w:top w:w="0" w:type="dxa"/>
              <w:left w:w="108" w:type="dxa"/>
              <w:bottom w:w="0" w:type="dxa"/>
              <w:right w:w="108" w:type="dxa"/>
            </w:tcMar>
            <w:hideMark/>
          </w:tcPr>
          <w:p w14:paraId="63ABCD78" w14:textId="77777777" w:rsidR="006E5C07" w:rsidRPr="006E5C07" w:rsidRDefault="006E5C07" w:rsidP="006E5C07">
            <w:pPr>
              <w:spacing w:after="0" w:line="240" w:lineRule="auto"/>
              <w:rPr>
                <w:rFonts w:ascii="Calibri" w:eastAsia="Times New Roman" w:hAnsi="Calibri" w:cs="Calibri"/>
                <w:u w:val="single"/>
              </w:rPr>
            </w:pPr>
            <w:r w:rsidRPr="006E5C07">
              <w:rPr>
                <w:rFonts w:ascii="Gill Sans MT" w:eastAsia="Times New Roman" w:hAnsi="Gill Sans MT" w:cs="Calibri"/>
                <w:sz w:val="18"/>
                <w:szCs w:val="18"/>
                <w:u w:val="single"/>
              </w:rPr>
              <w:t>Implementation</w:t>
            </w:r>
          </w:p>
        </w:tc>
        <w:tc>
          <w:tcPr>
            <w:tcW w:w="2790" w:type="dxa"/>
            <w:tcMar>
              <w:top w:w="0" w:type="dxa"/>
              <w:left w:w="108" w:type="dxa"/>
              <w:bottom w:w="0" w:type="dxa"/>
              <w:right w:w="108" w:type="dxa"/>
            </w:tcMar>
            <w:hideMark/>
          </w:tcPr>
          <w:p w14:paraId="50F64E5B" w14:textId="77777777" w:rsidR="006E5C07" w:rsidRPr="006E5C07" w:rsidRDefault="006E5C07" w:rsidP="006E5C07">
            <w:pPr>
              <w:spacing w:after="0" w:line="240" w:lineRule="auto"/>
              <w:rPr>
                <w:rFonts w:ascii="Calibri" w:eastAsia="Times New Roman" w:hAnsi="Calibri" w:cs="Calibri"/>
                <w:u w:val="single"/>
              </w:rPr>
            </w:pPr>
            <w:r w:rsidRPr="006E5C07">
              <w:rPr>
                <w:rFonts w:ascii="Gill Sans MT" w:eastAsia="Times New Roman" w:hAnsi="Gill Sans MT" w:cs="Calibri"/>
                <w:sz w:val="18"/>
                <w:szCs w:val="18"/>
                <w:u w:val="single"/>
              </w:rPr>
              <w:t>Effect on Group</w:t>
            </w:r>
          </w:p>
        </w:tc>
      </w:tr>
      <w:tr w:rsidR="006E5C07" w:rsidRPr="006E5C07" w14:paraId="6907DE5C" w14:textId="77777777" w:rsidTr="006E5C07">
        <w:tc>
          <w:tcPr>
            <w:tcW w:w="2789" w:type="dxa"/>
            <w:tcMar>
              <w:top w:w="0" w:type="dxa"/>
              <w:left w:w="108" w:type="dxa"/>
              <w:bottom w:w="0" w:type="dxa"/>
              <w:right w:w="108" w:type="dxa"/>
            </w:tcMar>
            <w:hideMark/>
          </w:tcPr>
          <w:p w14:paraId="00AAAB24"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t>COVID-19 Related Rent Concessions (Amendments to IFRS16)</w:t>
            </w:r>
          </w:p>
        </w:tc>
        <w:tc>
          <w:tcPr>
            <w:tcW w:w="2789" w:type="dxa"/>
            <w:tcMar>
              <w:top w:w="0" w:type="dxa"/>
              <w:left w:w="108" w:type="dxa"/>
              <w:bottom w:w="0" w:type="dxa"/>
              <w:right w:w="108" w:type="dxa"/>
            </w:tcMar>
            <w:hideMark/>
          </w:tcPr>
          <w:p w14:paraId="2E742B91"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t>Annual period beginning on or after 1 June 2020</w:t>
            </w:r>
          </w:p>
        </w:tc>
        <w:tc>
          <w:tcPr>
            <w:tcW w:w="2790" w:type="dxa"/>
            <w:tcMar>
              <w:top w:w="0" w:type="dxa"/>
              <w:left w:w="108" w:type="dxa"/>
              <w:bottom w:w="0" w:type="dxa"/>
              <w:right w:w="108" w:type="dxa"/>
            </w:tcMar>
            <w:hideMark/>
          </w:tcPr>
          <w:p w14:paraId="39B828F4" w14:textId="77777777" w:rsidR="006E5C07" w:rsidRPr="006E5C07" w:rsidRDefault="006E5C07" w:rsidP="006E5C07">
            <w:pPr>
              <w:spacing w:after="200" w:line="253" w:lineRule="atLeast"/>
              <w:jc w:val="both"/>
              <w:rPr>
                <w:rFonts w:ascii="Calibri" w:eastAsia="Times New Roman" w:hAnsi="Calibri" w:cs="Calibri"/>
              </w:rPr>
            </w:pPr>
            <w:r w:rsidRPr="006E5C07">
              <w:rPr>
                <w:rFonts w:ascii="Gill Sans MT" w:eastAsia="Times New Roman" w:hAnsi="Gill Sans MT" w:cs="Calibri"/>
                <w:sz w:val="18"/>
                <w:szCs w:val="18"/>
              </w:rPr>
              <w:t>The Board does not anticipate any material impact on the financial statements</w:t>
            </w:r>
          </w:p>
        </w:tc>
      </w:tr>
      <w:tr w:rsidR="006E5C07" w:rsidRPr="006E5C07" w14:paraId="7537E782" w14:textId="77777777" w:rsidTr="006E5C07">
        <w:tc>
          <w:tcPr>
            <w:tcW w:w="2789" w:type="dxa"/>
            <w:tcMar>
              <w:top w:w="0" w:type="dxa"/>
              <w:left w:w="108" w:type="dxa"/>
              <w:bottom w:w="0" w:type="dxa"/>
              <w:right w:w="108" w:type="dxa"/>
            </w:tcMar>
            <w:hideMark/>
          </w:tcPr>
          <w:p w14:paraId="6DEA5D1D"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t>Interest Rate Benchmark Reform - Phase 2 (Amendments to IFRS 9, IAS 39 and IFRS 7, IFRS 4 and IFRS 16)</w:t>
            </w:r>
          </w:p>
        </w:tc>
        <w:tc>
          <w:tcPr>
            <w:tcW w:w="2789" w:type="dxa"/>
            <w:tcMar>
              <w:top w:w="0" w:type="dxa"/>
              <w:left w:w="108" w:type="dxa"/>
              <w:bottom w:w="0" w:type="dxa"/>
              <w:right w:w="108" w:type="dxa"/>
            </w:tcMar>
            <w:hideMark/>
          </w:tcPr>
          <w:p w14:paraId="53031EBD"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t>Annual periods beginning on or after 1 January 2021</w:t>
            </w:r>
          </w:p>
        </w:tc>
        <w:tc>
          <w:tcPr>
            <w:tcW w:w="2790" w:type="dxa"/>
            <w:tcMar>
              <w:top w:w="0" w:type="dxa"/>
              <w:left w:w="108" w:type="dxa"/>
              <w:bottom w:w="0" w:type="dxa"/>
              <w:right w:w="108" w:type="dxa"/>
            </w:tcMar>
            <w:hideMark/>
          </w:tcPr>
          <w:p w14:paraId="39BF2695" w14:textId="77777777" w:rsidR="006E5C07" w:rsidRPr="006E5C07" w:rsidRDefault="006E5C07" w:rsidP="006E5C07">
            <w:pPr>
              <w:spacing w:after="200" w:line="253" w:lineRule="atLeast"/>
              <w:jc w:val="both"/>
              <w:rPr>
                <w:rFonts w:ascii="Calibri" w:eastAsia="Times New Roman" w:hAnsi="Calibri" w:cs="Calibri"/>
              </w:rPr>
            </w:pPr>
            <w:r w:rsidRPr="006E5C07">
              <w:rPr>
                <w:rFonts w:ascii="Gill Sans MT" w:eastAsia="Times New Roman" w:hAnsi="Gill Sans MT" w:cs="Calibri"/>
                <w:sz w:val="18"/>
                <w:szCs w:val="18"/>
              </w:rPr>
              <w:t>The Board does not anticipate any impact on the financial statements.</w:t>
            </w:r>
          </w:p>
        </w:tc>
      </w:tr>
      <w:tr w:rsidR="006E5C07" w:rsidRPr="006E5C07" w14:paraId="712D6A44" w14:textId="77777777" w:rsidTr="006E5C07">
        <w:tc>
          <w:tcPr>
            <w:tcW w:w="2789" w:type="dxa"/>
            <w:tcMar>
              <w:top w:w="0" w:type="dxa"/>
              <w:left w:w="108" w:type="dxa"/>
              <w:bottom w:w="0" w:type="dxa"/>
              <w:right w:w="108" w:type="dxa"/>
            </w:tcMar>
            <w:hideMark/>
          </w:tcPr>
          <w:p w14:paraId="7CB96E11"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t>Onerous Contracts - Cost of Fulfilling a Contract (Amendment to IAS 37)</w:t>
            </w:r>
          </w:p>
        </w:tc>
        <w:tc>
          <w:tcPr>
            <w:tcW w:w="2789" w:type="dxa"/>
            <w:tcMar>
              <w:top w:w="0" w:type="dxa"/>
              <w:left w:w="108" w:type="dxa"/>
              <w:bottom w:w="0" w:type="dxa"/>
              <w:right w:w="108" w:type="dxa"/>
            </w:tcMar>
            <w:hideMark/>
          </w:tcPr>
          <w:p w14:paraId="70C08E84"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t>Annual periods beginning on or after 1 January 2022</w:t>
            </w:r>
          </w:p>
        </w:tc>
        <w:tc>
          <w:tcPr>
            <w:tcW w:w="2790" w:type="dxa"/>
            <w:tcMar>
              <w:top w:w="0" w:type="dxa"/>
              <w:left w:w="108" w:type="dxa"/>
              <w:bottom w:w="0" w:type="dxa"/>
              <w:right w:w="108" w:type="dxa"/>
            </w:tcMar>
            <w:hideMark/>
          </w:tcPr>
          <w:p w14:paraId="26284009" w14:textId="77777777" w:rsidR="006E5C07" w:rsidRPr="006E5C07" w:rsidRDefault="006E5C07" w:rsidP="006E5C07">
            <w:pPr>
              <w:spacing w:after="200" w:line="253" w:lineRule="atLeast"/>
              <w:jc w:val="both"/>
              <w:rPr>
                <w:rFonts w:ascii="Calibri" w:eastAsia="Times New Roman" w:hAnsi="Calibri" w:cs="Calibri"/>
              </w:rPr>
            </w:pPr>
            <w:r w:rsidRPr="006E5C07">
              <w:rPr>
                <w:rFonts w:ascii="Gill Sans MT" w:eastAsia="Times New Roman" w:hAnsi="Gill Sans MT" w:cs="Calibri"/>
                <w:sz w:val="18"/>
                <w:szCs w:val="18"/>
              </w:rPr>
              <w:t>The Board does not anticipate any impact on the financial statements.</w:t>
            </w:r>
          </w:p>
        </w:tc>
      </w:tr>
      <w:tr w:rsidR="006E5C07" w:rsidRPr="006E5C07" w14:paraId="531F26E3" w14:textId="77777777" w:rsidTr="006E5C07">
        <w:tc>
          <w:tcPr>
            <w:tcW w:w="2789" w:type="dxa"/>
            <w:tcMar>
              <w:top w:w="0" w:type="dxa"/>
              <w:left w:w="108" w:type="dxa"/>
              <w:bottom w:w="0" w:type="dxa"/>
              <w:right w:w="108" w:type="dxa"/>
            </w:tcMar>
            <w:hideMark/>
          </w:tcPr>
          <w:p w14:paraId="76529A1A"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t>Annual Improvements to IFRS Standards 2018 - 2020</w:t>
            </w:r>
          </w:p>
        </w:tc>
        <w:tc>
          <w:tcPr>
            <w:tcW w:w="2789" w:type="dxa"/>
            <w:tcMar>
              <w:top w:w="0" w:type="dxa"/>
              <w:left w:w="108" w:type="dxa"/>
              <w:bottom w:w="0" w:type="dxa"/>
              <w:right w:w="108" w:type="dxa"/>
            </w:tcMar>
            <w:hideMark/>
          </w:tcPr>
          <w:p w14:paraId="59EECAC2"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t>Annual periods beginning on or after 1 January 2022</w:t>
            </w:r>
          </w:p>
        </w:tc>
        <w:tc>
          <w:tcPr>
            <w:tcW w:w="2790" w:type="dxa"/>
            <w:tcMar>
              <w:top w:w="0" w:type="dxa"/>
              <w:left w:w="108" w:type="dxa"/>
              <w:bottom w:w="0" w:type="dxa"/>
              <w:right w:w="108" w:type="dxa"/>
            </w:tcMar>
            <w:hideMark/>
          </w:tcPr>
          <w:p w14:paraId="38E5634C" w14:textId="77777777" w:rsidR="006E5C07" w:rsidRPr="006E5C07" w:rsidRDefault="006E5C07" w:rsidP="006E5C07">
            <w:pPr>
              <w:spacing w:after="200" w:line="253" w:lineRule="atLeast"/>
              <w:jc w:val="both"/>
              <w:rPr>
                <w:rFonts w:ascii="Calibri" w:eastAsia="Times New Roman" w:hAnsi="Calibri" w:cs="Calibri"/>
              </w:rPr>
            </w:pPr>
            <w:r w:rsidRPr="006E5C07">
              <w:rPr>
                <w:rFonts w:ascii="Gill Sans MT" w:eastAsia="Times New Roman" w:hAnsi="Gill Sans MT" w:cs="Calibri"/>
                <w:sz w:val="18"/>
                <w:szCs w:val="18"/>
              </w:rPr>
              <w:t>The Board does not anticipate any impact on the financial statements.</w:t>
            </w:r>
          </w:p>
        </w:tc>
      </w:tr>
      <w:tr w:rsidR="006E5C07" w:rsidRPr="006E5C07" w14:paraId="6B101FCB" w14:textId="77777777" w:rsidTr="006E5C07">
        <w:tc>
          <w:tcPr>
            <w:tcW w:w="2789" w:type="dxa"/>
            <w:tcMar>
              <w:top w:w="0" w:type="dxa"/>
              <w:left w:w="108" w:type="dxa"/>
              <w:bottom w:w="0" w:type="dxa"/>
              <w:right w:w="108" w:type="dxa"/>
            </w:tcMar>
            <w:hideMark/>
          </w:tcPr>
          <w:p w14:paraId="6D23A8DB"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t>Property, Plant and Equipment: Proceeds Before Intended Use (Amendments to IAS 16)</w:t>
            </w:r>
          </w:p>
        </w:tc>
        <w:tc>
          <w:tcPr>
            <w:tcW w:w="2789" w:type="dxa"/>
            <w:tcMar>
              <w:top w:w="0" w:type="dxa"/>
              <w:left w:w="108" w:type="dxa"/>
              <w:bottom w:w="0" w:type="dxa"/>
              <w:right w:w="108" w:type="dxa"/>
            </w:tcMar>
            <w:hideMark/>
          </w:tcPr>
          <w:p w14:paraId="0C11C3F6"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t>Annual periods beginning on or after 1 January 2022</w:t>
            </w:r>
          </w:p>
        </w:tc>
        <w:tc>
          <w:tcPr>
            <w:tcW w:w="2790" w:type="dxa"/>
            <w:tcMar>
              <w:top w:w="0" w:type="dxa"/>
              <w:left w:w="108" w:type="dxa"/>
              <w:bottom w:w="0" w:type="dxa"/>
              <w:right w:w="108" w:type="dxa"/>
            </w:tcMar>
            <w:hideMark/>
          </w:tcPr>
          <w:p w14:paraId="20976526" w14:textId="77777777" w:rsidR="006E5C07" w:rsidRPr="006E5C07" w:rsidRDefault="006E5C07" w:rsidP="006E5C07">
            <w:pPr>
              <w:spacing w:after="200" w:line="253" w:lineRule="atLeast"/>
              <w:jc w:val="both"/>
              <w:rPr>
                <w:rFonts w:ascii="Calibri" w:eastAsia="Times New Roman" w:hAnsi="Calibri" w:cs="Calibri"/>
              </w:rPr>
            </w:pPr>
            <w:r w:rsidRPr="006E5C07">
              <w:rPr>
                <w:rFonts w:ascii="Gill Sans MT" w:eastAsia="Times New Roman" w:hAnsi="Gill Sans MT" w:cs="Calibri"/>
                <w:sz w:val="18"/>
                <w:szCs w:val="18"/>
              </w:rPr>
              <w:t>The Board does not anticipate any impact on the financial statements.</w:t>
            </w:r>
          </w:p>
        </w:tc>
      </w:tr>
      <w:tr w:rsidR="006E5C07" w:rsidRPr="006E5C07" w14:paraId="667EB93C" w14:textId="77777777" w:rsidTr="006E5C07">
        <w:tc>
          <w:tcPr>
            <w:tcW w:w="2789" w:type="dxa"/>
            <w:tcMar>
              <w:top w:w="0" w:type="dxa"/>
              <w:left w:w="108" w:type="dxa"/>
              <w:bottom w:w="0" w:type="dxa"/>
              <w:right w:w="108" w:type="dxa"/>
            </w:tcMar>
            <w:hideMark/>
          </w:tcPr>
          <w:p w14:paraId="64A0A967"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t>Reference to the Conceptual Framework (Amendments to IFRS 3)</w:t>
            </w:r>
          </w:p>
        </w:tc>
        <w:tc>
          <w:tcPr>
            <w:tcW w:w="2789" w:type="dxa"/>
            <w:tcMar>
              <w:top w:w="0" w:type="dxa"/>
              <w:left w:w="108" w:type="dxa"/>
              <w:bottom w:w="0" w:type="dxa"/>
              <w:right w:w="108" w:type="dxa"/>
            </w:tcMar>
            <w:hideMark/>
          </w:tcPr>
          <w:p w14:paraId="028FBB99"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t>Annual periods beginning on or after 1 January 2022</w:t>
            </w:r>
          </w:p>
        </w:tc>
        <w:tc>
          <w:tcPr>
            <w:tcW w:w="2790" w:type="dxa"/>
            <w:tcMar>
              <w:top w:w="0" w:type="dxa"/>
              <w:left w:w="108" w:type="dxa"/>
              <w:bottom w:w="0" w:type="dxa"/>
              <w:right w:w="108" w:type="dxa"/>
            </w:tcMar>
            <w:hideMark/>
          </w:tcPr>
          <w:p w14:paraId="5F1C94A0" w14:textId="77777777" w:rsidR="006E5C07" w:rsidRPr="006E5C07" w:rsidRDefault="006E5C07" w:rsidP="006E5C07">
            <w:pPr>
              <w:spacing w:after="200" w:line="253" w:lineRule="atLeast"/>
              <w:jc w:val="both"/>
              <w:rPr>
                <w:rFonts w:ascii="Calibri" w:eastAsia="Times New Roman" w:hAnsi="Calibri" w:cs="Calibri"/>
              </w:rPr>
            </w:pPr>
            <w:r w:rsidRPr="006E5C07">
              <w:rPr>
                <w:rFonts w:ascii="Gill Sans MT" w:eastAsia="Times New Roman" w:hAnsi="Gill Sans MT" w:cs="Calibri"/>
                <w:sz w:val="18"/>
                <w:szCs w:val="18"/>
              </w:rPr>
              <w:t>The Board does not anticipate any impact on the financial statements.</w:t>
            </w:r>
          </w:p>
        </w:tc>
      </w:tr>
      <w:tr w:rsidR="006E5C07" w:rsidRPr="006E5C07" w14:paraId="52AC766F" w14:textId="77777777" w:rsidTr="006E5C07">
        <w:tc>
          <w:tcPr>
            <w:tcW w:w="2789" w:type="dxa"/>
            <w:tcMar>
              <w:top w:w="0" w:type="dxa"/>
              <w:left w:w="108" w:type="dxa"/>
              <w:bottom w:w="0" w:type="dxa"/>
              <w:right w:w="108" w:type="dxa"/>
            </w:tcMar>
            <w:hideMark/>
          </w:tcPr>
          <w:p w14:paraId="26950DFD"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t>Classification of Liabilities as Current or Non-current (Amendments to IAS 1)</w:t>
            </w:r>
          </w:p>
        </w:tc>
        <w:tc>
          <w:tcPr>
            <w:tcW w:w="2789" w:type="dxa"/>
            <w:tcMar>
              <w:top w:w="0" w:type="dxa"/>
              <w:left w:w="108" w:type="dxa"/>
              <w:bottom w:w="0" w:type="dxa"/>
              <w:right w:w="108" w:type="dxa"/>
            </w:tcMar>
            <w:hideMark/>
          </w:tcPr>
          <w:p w14:paraId="3F46588F"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t>Annual periods beginning on or after 1 January 2023</w:t>
            </w:r>
          </w:p>
        </w:tc>
        <w:tc>
          <w:tcPr>
            <w:tcW w:w="2790" w:type="dxa"/>
            <w:tcMar>
              <w:top w:w="0" w:type="dxa"/>
              <w:left w:w="108" w:type="dxa"/>
              <w:bottom w:w="0" w:type="dxa"/>
              <w:right w:w="108" w:type="dxa"/>
            </w:tcMar>
            <w:hideMark/>
          </w:tcPr>
          <w:p w14:paraId="08C041E4" w14:textId="77777777" w:rsidR="006E5C07" w:rsidRPr="006E5C07" w:rsidRDefault="006E5C07" w:rsidP="006E5C07">
            <w:pPr>
              <w:spacing w:after="200" w:line="253" w:lineRule="atLeast"/>
              <w:jc w:val="both"/>
              <w:rPr>
                <w:rFonts w:ascii="Calibri" w:eastAsia="Times New Roman" w:hAnsi="Calibri" w:cs="Calibri"/>
              </w:rPr>
            </w:pPr>
            <w:r w:rsidRPr="006E5C07">
              <w:rPr>
                <w:rFonts w:ascii="Gill Sans MT" w:eastAsia="Times New Roman" w:hAnsi="Gill Sans MT" w:cs="Calibri"/>
                <w:sz w:val="18"/>
                <w:szCs w:val="18"/>
              </w:rPr>
              <w:t>The Board does not anticipate any impact on the financial statements.</w:t>
            </w:r>
          </w:p>
        </w:tc>
      </w:tr>
      <w:tr w:rsidR="006E5C07" w:rsidRPr="006E5C07" w14:paraId="36AAAC65" w14:textId="77777777" w:rsidTr="006E5C07">
        <w:tc>
          <w:tcPr>
            <w:tcW w:w="2789" w:type="dxa"/>
            <w:tcMar>
              <w:top w:w="0" w:type="dxa"/>
              <w:left w:w="108" w:type="dxa"/>
              <w:bottom w:w="0" w:type="dxa"/>
              <w:right w:w="108" w:type="dxa"/>
            </w:tcMar>
            <w:hideMark/>
          </w:tcPr>
          <w:p w14:paraId="3D48596A"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lastRenderedPageBreak/>
              <w:t>IFRS 17 Insurance Contracts and Amendments to IFRS 17 Insurance Contracts</w:t>
            </w:r>
          </w:p>
        </w:tc>
        <w:tc>
          <w:tcPr>
            <w:tcW w:w="2789" w:type="dxa"/>
            <w:tcMar>
              <w:top w:w="0" w:type="dxa"/>
              <w:left w:w="108" w:type="dxa"/>
              <w:bottom w:w="0" w:type="dxa"/>
              <w:right w:w="108" w:type="dxa"/>
            </w:tcMar>
            <w:hideMark/>
          </w:tcPr>
          <w:p w14:paraId="1B9B103A" w14:textId="77777777" w:rsidR="006E5C07" w:rsidRPr="006E5C07" w:rsidRDefault="006E5C07" w:rsidP="006E5C07">
            <w:pPr>
              <w:spacing w:after="200" w:line="253" w:lineRule="atLeast"/>
              <w:rPr>
                <w:rFonts w:ascii="Calibri" w:eastAsia="Times New Roman" w:hAnsi="Calibri" w:cs="Calibri"/>
              </w:rPr>
            </w:pPr>
            <w:r w:rsidRPr="006E5C07">
              <w:rPr>
                <w:rFonts w:ascii="Gill Sans MT" w:eastAsia="Times New Roman" w:hAnsi="Gill Sans MT" w:cs="Calibri"/>
                <w:sz w:val="18"/>
                <w:szCs w:val="18"/>
              </w:rPr>
              <w:t>Annual periods beginning on or after 1 January 2023</w:t>
            </w:r>
          </w:p>
        </w:tc>
        <w:tc>
          <w:tcPr>
            <w:tcW w:w="2790" w:type="dxa"/>
            <w:tcMar>
              <w:top w:w="0" w:type="dxa"/>
              <w:left w:w="108" w:type="dxa"/>
              <w:bottom w:w="0" w:type="dxa"/>
              <w:right w:w="108" w:type="dxa"/>
            </w:tcMar>
            <w:hideMark/>
          </w:tcPr>
          <w:p w14:paraId="26CA36F2" w14:textId="77777777" w:rsidR="006E5C07" w:rsidRPr="006E5C07" w:rsidRDefault="006E5C07" w:rsidP="006E5C07">
            <w:pPr>
              <w:spacing w:after="200" w:line="253" w:lineRule="atLeast"/>
              <w:jc w:val="both"/>
              <w:rPr>
                <w:rFonts w:ascii="Calibri" w:eastAsia="Times New Roman" w:hAnsi="Calibri" w:cs="Calibri"/>
              </w:rPr>
            </w:pPr>
            <w:r w:rsidRPr="006E5C07">
              <w:rPr>
                <w:rFonts w:ascii="Gill Sans MT" w:eastAsia="Times New Roman" w:hAnsi="Gill Sans MT" w:cs="Calibri"/>
                <w:sz w:val="18"/>
                <w:szCs w:val="18"/>
              </w:rPr>
              <w:t>The Board does not anticipate any impact on the financial statements.</w:t>
            </w:r>
          </w:p>
        </w:tc>
      </w:tr>
    </w:tbl>
    <w:p w14:paraId="4CA4674C"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Management anticipates that the standards and interpretations in issue, but not yet effective will be adopted in the financial statements when they become effective and currently foresee no material impact by the adoptions on the financial statements of the Group in the period of initial application. However, this will be assessed further upon implementation.</w:t>
      </w:r>
    </w:p>
    <w:p w14:paraId="5A1BA8D2" w14:textId="77777777" w:rsidR="006E5C07" w:rsidRPr="006E5C07" w:rsidRDefault="006E5C07" w:rsidP="006E5C07">
      <w:pPr>
        <w:spacing w:after="0" w:line="240" w:lineRule="auto"/>
        <w:ind w:hanging="600"/>
        <w:jc w:val="both"/>
        <w:rPr>
          <w:rFonts w:ascii="Calibri" w:eastAsia="Times New Roman" w:hAnsi="Calibri" w:cs="Calibri"/>
          <w:color w:val="16202C"/>
        </w:rPr>
      </w:pPr>
      <w:r w:rsidRPr="006E5C07">
        <w:rPr>
          <w:rFonts w:ascii="Gill Sans MT" w:eastAsia="Times New Roman" w:hAnsi="Gill Sans MT" w:cs="Calibri"/>
          <w:b/>
          <w:bCs/>
          <w:color w:val="16202C"/>
          <w:sz w:val="18"/>
          <w:szCs w:val="18"/>
        </w:rPr>
        <w:t>3.          Accounting policies</w:t>
      </w:r>
    </w:p>
    <w:p w14:paraId="722874CD"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1515C7A0" w14:textId="77777777" w:rsidR="006E5C07" w:rsidRPr="006E5C07" w:rsidRDefault="006E5C07" w:rsidP="006E5C07">
      <w:pPr>
        <w:spacing w:after="200" w:line="253" w:lineRule="atLeast"/>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Statement of compliance</w:t>
      </w:r>
    </w:p>
    <w:p w14:paraId="7F97EF02"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The consolidated financial statements have been prepared in accordance with International Financial Reporting Standards.</w:t>
      </w:r>
    </w:p>
    <w:p w14:paraId="02B90E2D" w14:textId="77777777" w:rsidR="006E5C07" w:rsidRPr="006E5C07" w:rsidRDefault="006E5C07" w:rsidP="006E5C07">
      <w:pPr>
        <w:spacing w:after="200" w:line="253" w:lineRule="atLeast"/>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Basis of consolidation        </w:t>
      </w:r>
    </w:p>
    <w:p w14:paraId="10617DF0"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The consolidated financial statements incorporate the financial statements of the Company and entities controlled by the Company (its subsidiaries). Control is achieved where the Company has the power to govern the financial and operating policies of an entity so as to obtain benefits from its activities.</w:t>
      </w:r>
    </w:p>
    <w:p w14:paraId="07290C67"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The results of subsidiaries acquired or disposed of during the period are included in the consolidated statement of comprehensive income from the effective date of acquisition and up to the effective date of disposal, as appropriate. Total comprehensive income of subsidiaries is attributed to the owners of the Company and to the non-controlling interests, even if this results in the non-controlling interests having a deficit balance.</w:t>
      </w:r>
    </w:p>
    <w:p w14:paraId="4CCD75FA"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When necessary, adjustments are made to the financial statements of subsidiaries to bring their accounting policies into line with those used by other members of the Group.</w:t>
      </w:r>
    </w:p>
    <w:p w14:paraId="0133D842"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All intra-group transactions, balances, income and expenses are eliminated in full on consolidation.</w:t>
      </w:r>
    </w:p>
    <w:p w14:paraId="3CFC06B0" w14:textId="77777777" w:rsidR="006E5C07" w:rsidRPr="006E5C07" w:rsidRDefault="006E5C07" w:rsidP="006E5C07">
      <w:pPr>
        <w:spacing w:after="200" w:line="253" w:lineRule="atLeast"/>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Goodwill</w:t>
      </w:r>
    </w:p>
    <w:p w14:paraId="2B9955F2"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Goodwill arising on an acquisition of a business is carried at cost as established at the date of acquisition of the business less accumulated impairment losses, if any.</w:t>
      </w:r>
    </w:p>
    <w:p w14:paraId="3482F936"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For the purpose of impairment testing, goodwill is allocated to each of the Group's cash-generating units (or groups of cash-generating units) that is expected to benefit from the synergies of the combination.</w:t>
      </w:r>
    </w:p>
    <w:p w14:paraId="1F9F4D5C"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A cash-generating unit to which goodwill has been allocated is tested for impairment annually, or more frequently when there is indication that the unit may be impaired. If the recoverable amount of the cash-generating unit is less than its carrying amount of any goodwill allocated to the unit and then to the other assets of the unit pro rata based on the carrying amount of each asset in the unit. Any impairment loss of goodwill is recognised directly in the consolidated statement of comprehensive income. An impairment loss recognised for goodwill is not reversed in subsequent periods.</w:t>
      </w:r>
    </w:p>
    <w:p w14:paraId="3D677380"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On disposal of the relevant cash-generating unit, the attributable amount of goodwill is included in the determination of the profit or loss on disposal.</w:t>
      </w:r>
    </w:p>
    <w:p w14:paraId="44C6CE5D"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The Group's policy for goodwill arising on the acquisition of an associate is described below.</w:t>
      </w:r>
    </w:p>
    <w:p w14:paraId="19E7AFF6" w14:textId="77777777" w:rsidR="006E5C07" w:rsidRPr="006E5C07" w:rsidRDefault="006E5C07" w:rsidP="006E5C07">
      <w:pPr>
        <w:spacing w:after="200" w:line="253" w:lineRule="atLeast"/>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Investments in subsidiaries</w:t>
      </w:r>
    </w:p>
    <w:p w14:paraId="6856329A"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The parent Company's investments in subsidiary undertakings are included in the Company statement of financial position at cost, less provision for any impairment in value.</w:t>
      </w:r>
    </w:p>
    <w:p w14:paraId="4DE02DAA"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Revenue</w:t>
      </w:r>
    </w:p>
    <w:p w14:paraId="2C44A5EE"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lastRenderedPageBreak/>
        <w:t> </w:t>
      </w:r>
    </w:p>
    <w:p w14:paraId="609E66C3"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Revenue is measured at the fair value of consideration received or receivable. Revenue is shown net of value-added tax, rebates and discounts and after eliminating intergroup sales. Revenue is recognised when the amount of revenue can be measured reliably, it is probable that future economic benefits will flow to the Group and when the relevant performance obligation is satisfied. The performance obligation is considered to be when the promotional or retail booking occurs. This performance obligation is satisfied over time. Revenue does not contain a financing component nor any element of variable consideration.</w:t>
      </w:r>
    </w:p>
    <w:p w14:paraId="37D935BC"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22EF408B" w14:textId="77777777" w:rsidR="006E5C07" w:rsidRPr="006E5C07" w:rsidRDefault="006E5C07" w:rsidP="006E5C07">
      <w:pPr>
        <w:spacing w:after="0" w:line="240" w:lineRule="auto"/>
        <w:jc w:val="both"/>
        <w:rPr>
          <w:rFonts w:ascii="Calibri" w:eastAsia="Times New Roman" w:hAnsi="Calibri" w:cs="Calibri"/>
          <w:color w:val="16202C"/>
          <w:u w:val="single"/>
        </w:rPr>
      </w:pPr>
      <w:r w:rsidRPr="006E5C07">
        <w:rPr>
          <w:rFonts w:ascii="Gill Sans MT" w:eastAsia="Times New Roman" w:hAnsi="Gill Sans MT" w:cs="Calibri"/>
          <w:color w:val="16202C"/>
          <w:sz w:val="18"/>
          <w:szCs w:val="18"/>
          <w:u w:val="single"/>
        </w:rPr>
        <w:t>Promotion divisions</w:t>
      </w:r>
    </w:p>
    <w:p w14:paraId="4F8BE6C4"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Revenue in the UK promotion division is recognised at the point at which a promotion takes place and is agreed by all parties. This policy is adopted as our contractual right to commission income is crystallised at this point.  Payment of a deposit is typically due when the booking is made with the balance payable 30 days prior to the promotion taking place or in instalments if the promotion is of a duration longer than 30 days.</w:t>
      </w:r>
    </w:p>
    <w:p w14:paraId="4520D7FA"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180A6571"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Revenue in the German promotion division is in relation to historic multi-year bookings ending in 2021. The right to recognise this revenue has already crystalised and therefore it is considered appropriate to recognise this revenue in 2020.</w:t>
      </w:r>
    </w:p>
    <w:p w14:paraId="61E26ECC"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46C184A4" w14:textId="77777777" w:rsidR="006E5C07" w:rsidRPr="006E5C07" w:rsidRDefault="006E5C07" w:rsidP="006E5C07">
      <w:pPr>
        <w:spacing w:after="0" w:line="240" w:lineRule="auto"/>
        <w:jc w:val="both"/>
        <w:rPr>
          <w:rFonts w:ascii="Calibri" w:eastAsia="Times New Roman" w:hAnsi="Calibri" w:cs="Calibri"/>
          <w:color w:val="16202C"/>
          <w:u w:val="single"/>
        </w:rPr>
      </w:pPr>
      <w:r w:rsidRPr="006E5C07">
        <w:rPr>
          <w:rFonts w:ascii="Gill Sans MT" w:eastAsia="Times New Roman" w:hAnsi="Gill Sans MT" w:cs="Calibri"/>
          <w:color w:val="16202C"/>
          <w:sz w:val="18"/>
          <w:szCs w:val="18"/>
          <w:u w:val="single"/>
        </w:rPr>
        <w:t>Retail divisions</w:t>
      </w:r>
    </w:p>
    <w:p w14:paraId="090A5D13"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Revenue in the UK and German retail divisions is recognised in the month during which the booking takes place. This is due to the requirement to match the revenue with performance obligations. Payment is due in advance on a monthly basis.</w:t>
      </w:r>
    </w:p>
    <w:p w14:paraId="6DA15F0B"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62C80B3A" w14:textId="77777777" w:rsidR="006E5C07" w:rsidRPr="006E5C07" w:rsidRDefault="006E5C07" w:rsidP="006E5C07">
      <w:pPr>
        <w:spacing w:after="0" w:line="240" w:lineRule="auto"/>
        <w:jc w:val="both"/>
        <w:rPr>
          <w:rFonts w:ascii="Calibri" w:eastAsia="Times New Roman" w:hAnsi="Calibri" w:cs="Calibri"/>
          <w:color w:val="16202C"/>
          <w:u w:val="single"/>
        </w:rPr>
      </w:pPr>
      <w:r w:rsidRPr="006E5C07">
        <w:rPr>
          <w:rFonts w:ascii="Gill Sans MT" w:eastAsia="Times New Roman" w:hAnsi="Gill Sans MT" w:cs="Calibri"/>
          <w:color w:val="16202C"/>
          <w:sz w:val="18"/>
          <w:szCs w:val="18"/>
          <w:u w:val="single"/>
        </w:rPr>
        <w:t>Change in accounting policy relating to revenue recognition</w:t>
      </w:r>
    </w:p>
    <w:p w14:paraId="2F638F01" w14:textId="77777777" w:rsidR="006E5C07" w:rsidRPr="006E5C07" w:rsidRDefault="006E5C07" w:rsidP="006E5C07">
      <w:pPr>
        <w:spacing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1793"/>
        <w:gridCol w:w="71"/>
        <w:gridCol w:w="1796"/>
        <w:gridCol w:w="829"/>
        <w:gridCol w:w="1263"/>
        <w:gridCol w:w="222"/>
        <w:gridCol w:w="1320"/>
        <w:gridCol w:w="2124"/>
        <w:gridCol w:w="50"/>
      </w:tblGrid>
      <w:tr w:rsidR="006E5C07" w:rsidRPr="006E5C07" w14:paraId="302BBA60" w14:textId="77777777" w:rsidTr="006E5C07">
        <w:trPr>
          <w:trHeight w:val="1519"/>
        </w:trPr>
        <w:tc>
          <w:tcPr>
            <w:tcW w:w="10982" w:type="dxa"/>
            <w:gridSpan w:val="8"/>
            <w:tcMar>
              <w:top w:w="0" w:type="dxa"/>
              <w:left w:w="108" w:type="dxa"/>
              <w:bottom w:w="0" w:type="dxa"/>
              <w:right w:w="108" w:type="dxa"/>
            </w:tcMar>
            <w:hideMark/>
          </w:tcPr>
          <w:p w14:paraId="1971F886" w14:textId="77777777" w:rsidR="006E5C07" w:rsidRPr="006E5C07" w:rsidRDefault="006E5C07" w:rsidP="006E5C07">
            <w:pPr>
              <w:spacing w:after="200" w:line="253" w:lineRule="atLeast"/>
              <w:jc w:val="both"/>
              <w:rPr>
                <w:rFonts w:ascii="Calibri" w:eastAsia="Times New Roman" w:hAnsi="Calibri" w:cs="Calibri"/>
              </w:rPr>
            </w:pPr>
            <w:r w:rsidRPr="006E5C07">
              <w:rPr>
                <w:rFonts w:ascii="Gill Sans MT" w:eastAsia="Times New Roman" w:hAnsi="Gill Sans MT" w:cs="Calibri"/>
                <w:sz w:val="18"/>
                <w:szCs w:val="18"/>
              </w:rPr>
              <w:t>Under the previous accounting policy, revenue in the UK promotion division was recognised at the point at which a booking was confirmed and was agreed by the promoter and the venue.  This was when the contractual right to commission was deemed to occur and payment of a deposit was typically due upon confirmation from which commissions were collected.</w:t>
            </w:r>
          </w:p>
          <w:p w14:paraId="4457FA61" w14:textId="77777777" w:rsidR="006E5C07" w:rsidRPr="006E5C07" w:rsidRDefault="006E5C07" w:rsidP="006E5C07">
            <w:pPr>
              <w:spacing w:after="200" w:line="253" w:lineRule="atLeast"/>
              <w:jc w:val="both"/>
              <w:rPr>
                <w:rFonts w:ascii="Calibri" w:eastAsia="Times New Roman" w:hAnsi="Calibri" w:cs="Calibri"/>
              </w:rPr>
            </w:pPr>
            <w:r w:rsidRPr="006E5C07">
              <w:rPr>
                <w:rFonts w:ascii="Gill Sans MT" w:eastAsia="Times New Roman" w:hAnsi="Gill Sans MT" w:cs="Calibri"/>
                <w:sz w:val="18"/>
                <w:szCs w:val="18"/>
              </w:rPr>
              <w:t>Contract renewals and new customer contracts have typically seen the introduction of  further requirements on the division in terms of managing the booking, including communications with venue and promoter in advance of and during the promotion. Commercial terms have also evolved so that it is now typical that commission due to the division only becomes due at the date of promotion or in instalments during the promotion rather than at the date the booking was confirmed.</w:t>
            </w:r>
          </w:p>
          <w:p w14:paraId="7E2D42F0" w14:textId="77777777" w:rsidR="006E5C07" w:rsidRPr="006E5C07" w:rsidRDefault="006E5C07" w:rsidP="006E5C07">
            <w:pPr>
              <w:spacing w:after="200" w:line="253" w:lineRule="atLeast"/>
              <w:jc w:val="both"/>
              <w:rPr>
                <w:rFonts w:ascii="Calibri" w:eastAsia="Times New Roman" w:hAnsi="Calibri" w:cs="Calibri"/>
              </w:rPr>
            </w:pPr>
            <w:r w:rsidRPr="006E5C07">
              <w:rPr>
                <w:rFonts w:ascii="Gill Sans MT" w:eastAsia="Times New Roman" w:hAnsi="Gill Sans MT" w:cs="Calibri"/>
                <w:sz w:val="18"/>
                <w:szCs w:val="18"/>
              </w:rPr>
              <w:t>As such, recognising the commission at and during the promotion is the appropriate policy for the division as a whole with revenue being recognised only once the promotion has commenced and the commission amount becomes receivable.</w:t>
            </w:r>
          </w:p>
          <w:p w14:paraId="296DDA04" w14:textId="77777777" w:rsidR="006E5C07" w:rsidRPr="006E5C07" w:rsidRDefault="006E5C07" w:rsidP="006E5C07">
            <w:pPr>
              <w:spacing w:after="0" w:line="240" w:lineRule="auto"/>
              <w:jc w:val="both"/>
              <w:rPr>
                <w:rFonts w:ascii="Calibri" w:eastAsia="Times New Roman" w:hAnsi="Calibri" w:cs="Calibri"/>
              </w:rPr>
            </w:pPr>
            <w:r w:rsidRPr="006E5C07">
              <w:rPr>
                <w:rFonts w:ascii="Gill Sans MT" w:eastAsia="Times New Roman" w:hAnsi="Gill Sans MT" w:cs="Calibri"/>
                <w:sz w:val="18"/>
                <w:szCs w:val="18"/>
              </w:rPr>
              <w:t>The following table summarises the impact of the change in policy on the profit and net assets of the division and Group.</w:t>
            </w:r>
          </w:p>
        </w:tc>
        <w:tc>
          <w:tcPr>
            <w:tcW w:w="0" w:type="auto"/>
            <w:tcBorders>
              <w:top w:val="nil"/>
              <w:left w:val="nil"/>
              <w:bottom w:val="nil"/>
              <w:right w:val="nil"/>
            </w:tcBorders>
            <w:vAlign w:val="center"/>
            <w:hideMark/>
          </w:tcPr>
          <w:p w14:paraId="7651836C" w14:textId="77777777" w:rsidR="006E5C07" w:rsidRPr="006E5C07" w:rsidRDefault="006E5C07" w:rsidP="006E5C07">
            <w:pPr>
              <w:spacing w:after="200" w:line="253" w:lineRule="atLeast"/>
              <w:rPr>
                <w:rFonts w:ascii="Calibri" w:eastAsia="Times New Roman" w:hAnsi="Calibri" w:cs="Calibri"/>
              </w:rPr>
            </w:pPr>
            <w:r w:rsidRPr="006E5C07">
              <w:rPr>
                <w:rFonts w:ascii="Calibri" w:eastAsia="Times New Roman" w:hAnsi="Calibri" w:cs="Calibri"/>
              </w:rPr>
              <w:t> </w:t>
            </w:r>
          </w:p>
        </w:tc>
      </w:tr>
      <w:tr w:rsidR="006E5C07" w:rsidRPr="006E5C07" w14:paraId="11EDFEED" w14:textId="77777777" w:rsidTr="006E5C07">
        <w:trPr>
          <w:trHeight w:val="84"/>
        </w:trPr>
        <w:tc>
          <w:tcPr>
            <w:tcW w:w="10982" w:type="dxa"/>
            <w:gridSpan w:val="8"/>
            <w:tcMar>
              <w:top w:w="0" w:type="dxa"/>
              <w:left w:w="108" w:type="dxa"/>
              <w:bottom w:w="0" w:type="dxa"/>
              <w:right w:w="108" w:type="dxa"/>
            </w:tcMar>
            <w:hideMark/>
          </w:tcPr>
          <w:p w14:paraId="1899BD55" w14:textId="77777777" w:rsidR="006E5C07" w:rsidRPr="006E5C07" w:rsidRDefault="006E5C07" w:rsidP="006E5C07">
            <w:pPr>
              <w:spacing w:after="0" w:line="240" w:lineRule="auto"/>
              <w:ind w:hanging="113"/>
              <w:jc w:val="both"/>
              <w:rPr>
                <w:rFonts w:ascii="Calibri" w:eastAsia="Times New Roman" w:hAnsi="Calibri" w:cs="Calibri"/>
              </w:rPr>
            </w:pPr>
          </w:p>
        </w:tc>
        <w:tc>
          <w:tcPr>
            <w:tcW w:w="0" w:type="auto"/>
            <w:tcBorders>
              <w:top w:val="nil"/>
              <w:left w:val="nil"/>
              <w:bottom w:val="nil"/>
              <w:right w:val="nil"/>
            </w:tcBorders>
            <w:vAlign w:val="center"/>
            <w:hideMark/>
          </w:tcPr>
          <w:p w14:paraId="5D013228" w14:textId="77777777" w:rsidR="006E5C07" w:rsidRPr="006E5C07" w:rsidRDefault="006E5C07" w:rsidP="006E5C07">
            <w:pPr>
              <w:spacing w:after="200" w:line="253" w:lineRule="atLeast"/>
              <w:rPr>
                <w:rFonts w:ascii="Calibri" w:eastAsia="Times New Roman" w:hAnsi="Calibri" w:cs="Calibri"/>
              </w:rPr>
            </w:pPr>
            <w:r w:rsidRPr="006E5C07">
              <w:rPr>
                <w:rFonts w:ascii="Calibri" w:eastAsia="Times New Roman" w:hAnsi="Calibri" w:cs="Calibri"/>
              </w:rPr>
              <w:t> </w:t>
            </w:r>
          </w:p>
        </w:tc>
      </w:tr>
      <w:tr w:rsidR="006E5C07" w:rsidRPr="006E5C07" w14:paraId="21B001A0" w14:textId="77777777" w:rsidTr="006E5C07">
        <w:trPr>
          <w:trHeight w:val="301"/>
        </w:trPr>
        <w:tc>
          <w:tcPr>
            <w:tcW w:w="2052" w:type="dxa"/>
            <w:tcMar>
              <w:top w:w="0" w:type="dxa"/>
              <w:left w:w="108" w:type="dxa"/>
              <w:bottom w:w="0" w:type="dxa"/>
              <w:right w:w="108" w:type="dxa"/>
            </w:tcMar>
            <w:hideMark/>
          </w:tcPr>
          <w:p w14:paraId="72598E21" w14:textId="77777777" w:rsidR="006E5C07" w:rsidRPr="006E5C07" w:rsidRDefault="006E5C07" w:rsidP="006E5C07">
            <w:pPr>
              <w:spacing w:after="0" w:line="240" w:lineRule="auto"/>
              <w:ind w:hanging="113"/>
              <w:jc w:val="both"/>
              <w:rPr>
                <w:rFonts w:ascii="Calibri" w:eastAsia="Times New Roman" w:hAnsi="Calibri" w:cs="Calibri"/>
              </w:rPr>
            </w:pPr>
          </w:p>
        </w:tc>
        <w:tc>
          <w:tcPr>
            <w:tcW w:w="3186" w:type="dxa"/>
            <w:gridSpan w:val="3"/>
            <w:tcMar>
              <w:top w:w="0" w:type="dxa"/>
              <w:left w:w="108" w:type="dxa"/>
              <w:bottom w:w="0" w:type="dxa"/>
              <w:right w:w="108" w:type="dxa"/>
            </w:tcMar>
            <w:hideMark/>
          </w:tcPr>
          <w:p w14:paraId="70AE857E" w14:textId="77777777" w:rsidR="006E5C07" w:rsidRPr="006E5C07" w:rsidRDefault="006E5C07" w:rsidP="006E5C07">
            <w:pPr>
              <w:spacing w:after="0" w:line="240" w:lineRule="auto"/>
              <w:ind w:hanging="113"/>
              <w:jc w:val="both"/>
              <w:rPr>
                <w:rFonts w:ascii="Calibri" w:eastAsia="Times New Roman" w:hAnsi="Calibri" w:cs="Calibri"/>
              </w:rPr>
            </w:pPr>
          </w:p>
        </w:tc>
        <w:tc>
          <w:tcPr>
            <w:tcW w:w="1344" w:type="dxa"/>
            <w:tcMar>
              <w:top w:w="0" w:type="dxa"/>
              <w:left w:w="108" w:type="dxa"/>
              <w:bottom w:w="0" w:type="dxa"/>
              <w:right w:w="108" w:type="dxa"/>
            </w:tcMar>
            <w:hideMark/>
          </w:tcPr>
          <w:p w14:paraId="72441633"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12 months to December '20</w:t>
            </w:r>
          </w:p>
          <w:p w14:paraId="3914A43B"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£,000</w:t>
            </w:r>
          </w:p>
        </w:tc>
        <w:tc>
          <w:tcPr>
            <w:tcW w:w="67" w:type="dxa"/>
            <w:tcMar>
              <w:top w:w="0" w:type="dxa"/>
              <w:left w:w="108" w:type="dxa"/>
              <w:bottom w:w="0" w:type="dxa"/>
              <w:right w:w="108" w:type="dxa"/>
            </w:tcMar>
            <w:hideMark/>
          </w:tcPr>
          <w:p w14:paraId="67ED2F17" w14:textId="77777777" w:rsidR="006E5C07" w:rsidRPr="006E5C07" w:rsidRDefault="006E5C07" w:rsidP="006E5C07">
            <w:pPr>
              <w:spacing w:after="0" w:line="240" w:lineRule="auto"/>
              <w:ind w:hanging="113"/>
              <w:jc w:val="right"/>
              <w:rPr>
                <w:rFonts w:ascii="Calibri" w:eastAsia="Times New Roman" w:hAnsi="Calibri" w:cs="Calibri"/>
              </w:rPr>
            </w:pPr>
          </w:p>
        </w:tc>
        <w:tc>
          <w:tcPr>
            <w:tcW w:w="1343" w:type="dxa"/>
            <w:tcMar>
              <w:top w:w="0" w:type="dxa"/>
              <w:left w:w="108" w:type="dxa"/>
              <w:bottom w:w="0" w:type="dxa"/>
              <w:right w:w="108" w:type="dxa"/>
            </w:tcMar>
            <w:hideMark/>
          </w:tcPr>
          <w:p w14:paraId="11348663"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12 months to December '19</w:t>
            </w:r>
          </w:p>
          <w:p w14:paraId="27142F33"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£'000</w:t>
            </w:r>
          </w:p>
        </w:tc>
        <w:tc>
          <w:tcPr>
            <w:tcW w:w="0" w:type="auto"/>
            <w:gridSpan w:val="2"/>
            <w:tcBorders>
              <w:top w:val="nil"/>
              <w:left w:val="nil"/>
              <w:bottom w:val="nil"/>
              <w:right w:val="nil"/>
            </w:tcBorders>
            <w:vAlign w:val="center"/>
            <w:hideMark/>
          </w:tcPr>
          <w:p w14:paraId="4C6389F3" w14:textId="77777777" w:rsidR="006E5C07" w:rsidRPr="006E5C07" w:rsidRDefault="006E5C07" w:rsidP="006E5C07">
            <w:pPr>
              <w:spacing w:after="200" w:line="253" w:lineRule="atLeast"/>
              <w:rPr>
                <w:rFonts w:ascii="Calibri" w:eastAsia="Times New Roman" w:hAnsi="Calibri" w:cs="Calibri"/>
              </w:rPr>
            </w:pPr>
            <w:r w:rsidRPr="006E5C07">
              <w:rPr>
                <w:rFonts w:ascii="Calibri" w:eastAsia="Times New Roman" w:hAnsi="Calibri" w:cs="Calibri"/>
              </w:rPr>
              <w:t> </w:t>
            </w:r>
          </w:p>
        </w:tc>
      </w:tr>
      <w:tr w:rsidR="006E5C07" w:rsidRPr="006E5C07" w14:paraId="11338CEF" w14:textId="77777777" w:rsidTr="006E5C07">
        <w:trPr>
          <w:trHeight w:val="95"/>
        </w:trPr>
        <w:tc>
          <w:tcPr>
            <w:tcW w:w="5454" w:type="dxa"/>
            <w:gridSpan w:val="4"/>
            <w:tcMar>
              <w:top w:w="0" w:type="dxa"/>
              <w:left w:w="108" w:type="dxa"/>
              <w:bottom w:w="0" w:type="dxa"/>
              <w:right w:w="108" w:type="dxa"/>
            </w:tcMar>
            <w:hideMark/>
          </w:tcPr>
          <w:p w14:paraId="783B2280" w14:textId="77777777" w:rsidR="006E5C07" w:rsidRPr="006E5C07" w:rsidRDefault="006E5C07" w:rsidP="006E5C07">
            <w:pPr>
              <w:spacing w:after="0" w:line="240" w:lineRule="auto"/>
              <w:ind w:hanging="113"/>
              <w:jc w:val="both"/>
              <w:rPr>
                <w:rFonts w:ascii="Calibri" w:eastAsia="Times New Roman" w:hAnsi="Calibri" w:cs="Calibri"/>
                <w:b/>
                <w:bCs/>
              </w:rPr>
            </w:pPr>
            <w:r w:rsidRPr="006E5C07">
              <w:rPr>
                <w:rFonts w:ascii="Gill Sans MT" w:eastAsia="Times New Roman" w:hAnsi="Gill Sans MT" w:cs="Calibri"/>
                <w:b/>
                <w:bCs/>
                <w:sz w:val="18"/>
                <w:szCs w:val="18"/>
              </w:rPr>
              <w:t>Consolidated statement of profit or loss</w:t>
            </w:r>
          </w:p>
        </w:tc>
        <w:tc>
          <w:tcPr>
            <w:tcW w:w="1344" w:type="dxa"/>
            <w:tcMar>
              <w:top w:w="0" w:type="dxa"/>
              <w:left w:w="108" w:type="dxa"/>
              <w:bottom w:w="0" w:type="dxa"/>
              <w:right w:w="108" w:type="dxa"/>
            </w:tcMar>
            <w:hideMark/>
          </w:tcPr>
          <w:p w14:paraId="0FA77E5E" w14:textId="77777777" w:rsidR="006E5C07" w:rsidRPr="006E5C07" w:rsidRDefault="006E5C07" w:rsidP="006E5C07">
            <w:pPr>
              <w:spacing w:after="0" w:line="240" w:lineRule="auto"/>
              <w:ind w:hanging="113"/>
              <w:jc w:val="both"/>
              <w:rPr>
                <w:rFonts w:ascii="Calibri" w:eastAsia="Times New Roman" w:hAnsi="Calibri" w:cs="Calibri"/>
              </w:rPr>
            </w:pPr>
          </w:p>
        </w:tc>
        <w:tc>
          <w:tcPr>
            <w:tcW w:w="67" w:type="dxa"/>
            <w:tcMar>
              <w:top w:w="0" w:type="dxa"/>
              <w:left w:w="108" w:type="dxa"/>
              <w:bottom w:w="0" w:type="dxa"/>
              <w:right w:w="108" w:type="dxa"/>
            </w:tcMar>
            <w:hideMark/>
          </w:tcPr>
          <w:p w14:paraId="27A784FC" w14:textId="77777777" w:rsidR="006E5C07" w:rsidRPr="006E5C07" w:rsidRDefault="006E5C07" w:rsidP="006E5C07">
            <w:pPr>
              <w:spacing w:after="0" w:line="240" w:lineRule="auto"/>
              <w:ind w:hanging="113"/>
              <w:jc w:val="both"/>
              <w:rPr>
                <w:rFonts w:ascii="Calibri" w:eastAsia="Times New Roman" w:hAnsi="Calibri" w:cs="Calibri"/>
              </w:rPr>
            </w:pPr>
          </w:p>
        </w:tc>
        <w:tc>
          <w:tcPr>
            <w:tcW w:w="1343" w:type="dxa"/>
            <w:tcMar>
              <w:top w:w="0" w:type="dxa"/>
              <w:left w:w="108" w:type="dxa"/>
              <w:bottom w:w="0" w:type="dxa"/>
              <w:right w:w="108" w:type="dxa"/>
            </w:tcMar>
            <w:hideMark/>
          </w:tcPr>
          <w:p w14:paraId="60A59129" w14:textId="77777777" w:rsidR="006E5C07" w:rsidRPr="006E5C07" w:rsidRDefault="006E5C07" w:rsidP="006E5C07">
            <w:pPr>
              <w:spacing w:after="0" w:line="240" w:lineRule="auto"/>
              <w:ind w:hanging="113"/>
              <w:jc w:val="both"/>
              <w:rPr>
                <w:rFonts w:ascii="Calibri" w:eastAsia="Times New Roman" w:hAnsi="Calibri" w:cs="Calibri"/>
              </w:rPr>
            </w:pPr>
          </w:p>
        </w:tc>
        <w:tc>
          <w:tcPr>
            <w:tcW w:w="2160" w:type="dxa"/>
            <w:gridSpan w:val="2"/>
            <w:tcMar>
              <w:top w:w="0" w:type="dxa"/>
              <w:left w:w="108" w:type="dxa"/>
              <w:bottom w:w="0" w:type="dxa"/>
              <w:right w:w="108" w:type="dxa"/>
            </w:tcMar>
            <w:hideMark/>
          </w:tcPr>
          <w:p w14:paraId="4ABEB506" w14:textId="77777777" w:rsidR="006E5C07" w:rsidRPr="006E5C07" w:rsidRDefault="006E5C07" w:rsidP="006E5C07">
            <w:pPr>
              <w:spacing w:after="0" w:line="240" w:lineRule="auto"/>
              <w:ind w:hanging="113"/>
              <w:jc w:val="both"/>
              <w:rPr>
                <w:rFonts w:ascii="Calibri" w:eastAsia="Times New Roman" w:hAnsi="Calibri" w:cs="Calibri"/>
              </w:rPr>
            </w:pPr>
          </w:p>
        </w:tc>
      </w:tr>
      <w:tr w:rsidR="006E5C07" w:rsidRPr="006E5C07" w14:paraId="6EF9AC48" w14:textId="77777777" w:rsidTr="006E5C07">
        <w:trPr>
          <w:trHeight w:val="379"/>
        </w:trPr>
        <w:tc>
          <w:tcPr>
            <w:tcW w:w="2052" w:type="dxa"/>
            <w:tcMar>
              <w:top w:w="0" w:type="dxa"/>
              <w:left w:w="108" w:type="dxa"/>
              <w:bottom w:w="0" w:type="dxa"/>
              <w:right w:w="108" w:type="dxa"/>
            </w:tcMar>
            <w:hideMark/>
          </w:tcPr>
          <w:p w14:paraId="01B279EE" w14:textId="77777777" w:rsidR="006E5C07" w:rsidRPr="006E5C07" w:rsidRDefault="006E5C07" w:rsidP="006E5C07">
            <w:pPr>
              <w:spacing w:after="0" w:line="240" w:lineRule="auto"/>
              <w:ind w:hanging="113"/>
              <w:jc w:val="both"/>
              <w:rPr>
                <w:rFonts w:ascii="Calibri" w:eastAsia="Times New Roman" w:hAnsi="Calibri" w:cs="Calibri"/>
              </w:rPr>
            </w:pPr>
            <w:r w:rsidRPr="006E5C07">
              <w:rPr>
                <w:rFonts w:ascii="Gill Sans MT" w:eastAsia="Times New Roman" w:hAnsi="Gill Sans MT" w:cs="Calibri"/>
                <w:sz w:val="18"/>
                <w:szCs w:val="18"/>
              </w:rPr>
              <w:t> </w:t>
            </w:r>
          </w:p>
          <w:p w14:paraId="36FC4F6A" w14:textId="77777777" w:rsidR="006E5C07" w:rsidRPr="006E5C07" w:rsidRDefault="006E5C07" w:rsidP="006E5C07">
            <w:pPr>
              <w:spacing w:after="0" w:line="240" w:lineRule="auto"/>
              <w:ind w:hanging="113"/>
              <w:jc w:val="both"/>
              <w:rPr>
                <w:rFonts w:ascii="Calibri" w:eastAsia="Times New Roman" w:hAnsi="Calibri" w:cs="Calibri"/>
              </w:rPr>
            </w:pPr>
            <w:r w:rsidRPr="006E5C07">
              <w:rPr>
                <w:rFonts w:ascii="Gill Sans MT" w:eastAsia="Times New Roman" w:hAnsi="Gill Sans MT" w:cs="Calibri"/>
                <w:sz w:val="18"/>
                <w:szCs w:val="18"/>
              </w:rPr>
              <w:t>Revenue - previous policy</w:t>
            </w:r>
          </w:p>
        </w:tc>
        <w:tc>
          <w:tcPr>
            <w:tcW w:w="3186" w:type="dxa"/>
            <w:gridSpan w:val="3"/>
            <w:tcMar>
              <w:top w:w="0" w:type="dxa"/>
              <w:left w:w="108" w:type="dxa"/>
              <w:bottom w:w="0" w:type="dxa"/>
              <w:right w:w="108" w:type="dxa"/>
            </w:tcMar>
            <w:hideMark/>
          </w:tcPr>
          <w:p w14:paraId="087F78F2" w14:textId="77777777" w:rsidR="006E5C07" w:rsidRPr="006E5C07" w:rsidRDefault="006E5C07" w:rsidP="006E5C07">
            <w:pPr>
              <w:spacing w:after="0" w:line="240" w:lineRule="auto"/>
              <w:ind w:hanging="113"/>
              <w:jc w:val="both"/>
              <w:rPr>
                <w:rFonts w:ascii="Calibri" w:eastAsia="Times New Roman" w:hAnsi="Calibri" w:cs="Calibri"/>
              </w:rPr>
            </w:pPr>
          </w:p>
        </w:tc>
        <w:tc>
          <w:tcPr>
            <w:tcW w:w="1344" w:type="dxa"/>
            <w:tcMar>
              <w:top w:w="0" w:type="dxa"/>
              <w:left w:w="108" w:type="dxa"/>
              <w:bottom w:w="0" w:type="dxa"/>
              <w:right w:w="108" w:type="dxa"/>
            </w:tcMar>
            <w:hideMark/>
          </w:tcPr>
          <w:p w14:paraId="1D4F8175"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 </w:t>
            </w:r>
          </w:p>
          <w:p w14:paraId="0E26190F"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196</w:t>
            </w:r>
          </w:p>
        </w:tc>
        <w:tc>
          <w:tcPr>
            <w:tcW w:w="67" w:type="dxa"/>
            <w:tcMar>
              <w:top w:w="0" w:type="dxa"/>
              <w:left w:w="108" w:type="dxa"/>
              <w:bottom w:w="0" w:type="dxa"/>
              <w:right w:w="108" w:type="dxa"/>
            </w:tcMar>
            <w:hideMark/>
          </w:tcPr>
          <w:p w14:paraId="669C06B9" w14:textId="77777777" w:rsidR="006E5C07" w:rsidRPr="006E5C07" w:rsidRDefault="006E5C07" w:rsidP="006E5C07">
            <w:pPr>
              <w:spacing w:after="0" w:line="240" w:lineRule="auto"/>
              <w:ind w:hanging="113"/>
              <w:jc w:val="both"/>
              <w:rPr>
                <w:rFonts w:ascii="Calibri" w:eastAsia="Times New Roman" w:hAnsi="Calibri" w:cs="Calibri"/>
              </w:rPr>
            </w:pPr>
          </w:p>
        </w:tc>
        <w:tc>
          <w:tcPr>
            <w:tcW w:w="1343" w:type="dxa"/>
            <w:tcMar>
              <w:top w:w="0" w:type="dxa"/>
              <w:left w:w="108" w:type="dxa"/>
              <w:bottom w:w="0" w:type="dxa"/>
              <w:right w:w="108" w:type="dxa"/>
            </w:tcMar>
            <w:hideMark/>
          </w:tcPr>
          <w:p w14:paraId="0ABAE2D8"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 </w:t>
            </w:r>
          </w:p>
          <w:p w14:paraId="3E9D20B5"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3,519</w:t>
            </w:r>
          </w:p>
        </w:tc>
        <w:tc>
          <w:tcPr>
            <w:tcW w:w="0" w:type="auto"/>
            <w:gridSpan w:val="2"/>
            <w:tcBorders>
              <w:top w:val="nil"/>
              <w:left w:val="nil"/>
              <w:bottom w:val="nil"/>
              <w:right w:val="nil"/>
            </w:tcBorders>
            <w:vAlign w:val="center"/>
            <w:hideMark/>
          </w:tcPr>
          <w:p w14:paraId="2CFC87FC" w14:textId="77777777" w:rsidR="006E5C07" w:rsidRPr="006E5C07" w:rsidRDefault="006E5C07" w:rsidP="006E5C07">
            <w:pPr>
              <w:spacing w:after="200" w:line="253" w:lineRule="atLeast"/>
              <w:rPr>
                <w:rFonts w:ascii="Calibri" w:eastAsia="Times New Roman" w:hAnsi="Calibri" w:cs="Calibri"/>
              </w:rPr>
            </w:pPr>
            <w:r w:rsidRPr="006E5C07">
              <w:rPr>
                <w:rFonts w:ascii="Calibri" w:eastAsia="Times New Roman" w:hAnsi="Calibri" w:cs="Calibri"/>
              </w:rPr>
              <w:t> </w:t>
            </w:r>
          </w:p>
        </w:tc>
      </w:tr>
      <w:tr w:rsidR="006E5C07" w:rsidRPr="006E5C07" w14:paraId="4B38F0E3" w14:textId="77777777" w:rsidTr="006E5C07">
        <w:trPr>
          <w:trHeight w:val="310"/>
        </w:trPr>
        <w:tc>
          <w:tcPr>
            <w:tcW w:w="5454" w:type="dxa"/>
            <w:gridSpan w:val="4"/>
            <w:tcMar>
              <w:top w:w="0" w:type="dxa"/>
              <w:left w:w="108" w:type="dxa"/>
              <w:bottom w:w="0" w:type="dxa"/>
              <w:right w:w="108" w:type="dxa"/>
            </w:tcMar>
            <w:hideMark/>
          </w:tcPr>
          <w:p w14:paraId="7B5328E9" w14:textId="77777777" w:rsidR="006E5C07" w:rsidRPr="006E5C07" w:rsidRDefault="006E5C07" w:rsidP="006E5C07">
            <w:pPr>
              <w:spacing w:after="0" w:line="240" w:lineRule="auto"/>
              <w:ind w:hanging="113"/>
              <w:jc w:val="both"/>
              <w:rPr>
                <w:rFonts w:ascii="Calibri" w:eastAsia="Times New Roman" w:hAnsi="Calibri" w:cs="Calibri"/>
              </w:rPr>
            </w:pPr>
            <w:r w:rsidRPr="006E5C07">
              <w:rPr>
                <w:rFonts w:ascii="Gill Sans MT" w:eastAsia="Times New Roman" w:hAnsi="Gill Sans MT" w:cs="Calibri"/>
                <w:sz w:val="18"/>
                <w:szCs w:val="18"/>
              </w:rPr>
              <w:t>Increase / (decrease) in revenue</w:t>
            </w:r>
          </w:p>
        </w:tc>
        <w:tc>
          <w:tcPr>
            <w:tcW w:w="1344" w:type="dxa"/>
            <w:tcBorders>
              <w:top w:val="nil"/>
              <w:left w:val="nil"/>
              <w:bottom w:val="single" w:sz="8" w:space="0" w:color="auto"/>
              <w:right w:val="nil"/>
            </w:tcBorders>
            <w:tcMar>
              <w:top w:w="0" w:type="dxa"/>
              <w:left w:w="108" w:type="dxa"/>
              <w:bottom w:w="0" w:type="dxa"/>
              <w:right w:w="108" w:type="dxa"/>
            </w:tcMar>
            <w:hideMark/>
          </w:tcPr>
          <w:p w14:paraId="40555C12"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600</w:t>
            </w:r>
          </w:p>
        </w:tc>
        <w:tc>
          <w:tcPr>
            <w:tcW w:w="67" w:type="dxa"/>
            <w:tcMar>
              <w:top w:w="0" w:type="dxa"/>
              <w:left w:w="108" w:type="dxa"/>
              <w:bottom w:w="0" w:type="dxa"/>
              <w:right w:w="108" w:type="dxa"/>
            </w:tcMar>
            <w:hideMark/>
          </w:tcPr>
          <w:p w14:paraId="25B9E7E5" w14:textId="77777777" w:rsidR="006E5C07" w:rsidRPr="006E5C07" w:rsidRDefault="006E5C07" w:rsidP="006E5C07">
            <w:pPr>
              <w:spacing w:after="0" w:line="240" w:lineRule="auto"/>
              <w:ind w:hanging="113"/>
              <w:jc w:val="both"/>
              <w:rPr>
                <w:rFonts w:ascii="Calibri" w:eastAsia="Times New Roman" w:hAnsi="Calibri" w:cs="Calibri"/>
              </w:rPr>
            </w:pPr>
          </w:p>
        </w:tc>
        <w:tc>
          <w:tcPr>
            <w:tcW w:w="1343" w:type="dxa"/>
            <w:tcBorders>
              <w:top w:val="nil"/>
              <w:left w:val="nil"/>
              <w:bottom w:val="single" w:sz="8" w:space="0" w:color="auto"/>
              <w:right w:val="nil"/>
            </w:tcBorders>
            <w:tcMar>
              <w:top w:w="0" w:type="dxa"/>
              <w:left w:w="108" w:type="dxa"/>
              <w:bottom w:w="0" w:type="dxa"/>
              <w:right w:w="108" w:type="dxa"/>
            </w:tcMar>
            <w:hideMark/>
          </w:tcPr>
          <w:p w14:paraId="68020F5C"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(8)</w:t>
            </w:r>
          </w:p>
        </w:tc>
        <w:tc>
          <w:tcPr>
            <w:tcW w:w="2160" w:type="dxa"/>
            <w:gridSpan w:val="2"/>
            <w:tcMar>
              <w:top w:w="0" w:type="dxa"/>
              <w:left w:w="108" w:type="dxa"/>
              <w:bottom w:w="0" w:type="dxa"/>
              <w:right w:w="108" w:type="dxa"/>
            </w:tcMar>
            <w:hideMark/>
          </w:tcPr>
          <w:p w14:paraId="32142E17" w14:textId="77777777" w:rsidR="006E5C07" w:rsidRPr="006E5C07" w:rsidRDefault="006E5C07" w:rsidP="006E5C07">
            <w:pPr>
              <w:spacing w:after="0" w:line="240" w:lineRule="auto"/>
              <w:ind w:hanging="113"/>
              <w:jc w:val="both"/>
              <w:rPr>
                <w:rFonts w:ascii="Calibri" w:eastAsia="Times New Roman" w:hAnsi="Calibri" w:cs="Calibri"/>
              </w:rPr>
            </w:pPr>
          </w:p>
        </w:tc>
      </w:tr>
      <w:tr w:rsidR="006E5C07" w:rsidRPr="006E5C07" w14:paraId="426D7B73" w14:textId="77777777" w:rsidTr="006E5C07">
        <w:trPr>
          <w:trHeight w:val="310"/>
        </w:trPr>
        <w:tc>
          <w:tcPr>
            <w:tcW w:w="5454" w:type="dxa"/>
            <w:gridSpan w:val="4"/>
            <w:tcMar>
              <w:top w:w="0" w:type="dxa"/>
              <w:left w:w="108" w:type="dxa"/>
              <w:bottom w:w="0" w:type="dxa"/>
              <w:right w:w="108" w:type="dxa"/>
            </w:tcMar>
            <w:hideMark/>
          </w:tcPr>
          <w:p w14:paraId="627E07B5" w14:textId="77777777" w:rsidR="006E5C07" w:rsidRPr="006E5C07" w:rsidRDefault="006E5C07" w:rsidP="006E5C07">
            <w:pPr>
              <w:spacing w:after="0" w:line="240" w:lineRule="auto"/>
              <w:ind w:hanging="113"/>
              <w:jc w:val="both"/>
              <w:rPr>
                <w:rFonts w:ascii="Calibri" w:eastAsia="Times New Roman" w:hAnsi="Calibri" w:cs="Calibri"/>
              </w:rPr>
            </w:pPr>
            <w:r w:rsidRPr="006E5C07">
              <w:rPr>
                <w:rFonts w:ascii="Gill Sans MT" w:eastAsia="Times New Roman" w:hAnsi="Gill Sans MT" w:cs="Calibri"/>
                <w:sz w:val="18"/>
                <w:szCs w:val="18"/>
              </w:rPr>
              <w:t>Revenue - new policy</w:t>
            </w:r>
          </w:p>
        </w:tc>
        <w:tc>
          <w:tcPr>
            <w:tcW w:w="1344" w:type="dxa"/>
            <w:tcBorders>
              <w:top w:val="nil"/>
              <w:left w:val="nil"/>
              <w:bottom w:val="nil"/>
              <w:right w:val="nil"/>
            </w:tcBorders>
            <w:tcMar>
              <w:top w:w="0" w:type="dxa"/>
              <w:left w:w="108" w:type="dxa"/>
              <w:bottom w:w="0" w:type="dxa"/>
              <w:right w:w="108" w:type="dxa"/>
            </w:tcMar>
            <w:hideMark/>
          </w:tcPr>
          <w:p w14:paraId="17FAA364"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796</w:t>
            </w:r>
          </w:p>
        </w:tc>
        <w:tc>
          <w:tcPr>
            <w:tcW w:w="67" w:type="dxa"/>
            <w:tcMar>
              <w:top w:w="0" w:type="dxa"/>
              <w:left w:w="108" w:type="dxa"/>
              <w:bottom w:w="0" w:type="dxa"/>
              <w:right w:w="108" w:type="dxa"/>
            </w:tcMar>
            <w:hideMark/>
          </w:tcPr>
          <w:p w14:paraId="055AF7BE" w14:textId="77777777" w:rsidR="006E5C07" w:rsidRPr="006E5C07" w:rsidRDefault="006E5C07" w:rsidP="006E5C07">
            <w:pPr>
              <w:spacing w:after="0" w:line="240" w:lineRule="auto"/>
              <w:ind w:hanging="113"/>
              <w:jc w:val="both"/>
              <w:rPr>
                <w:rFonts w:ascii="Calibri" w:eastAsia="Times New Roman" w:hAnsi="Calibri" w:cs="Calibri"/>
              </w:rPr>
            </w:pPr>
          </w:p>
        </w:tc>
        <w:tc>
          <w:tcPr>
            <w:tcW w:w="1343" w:type="dxa"/>
            <w:tcBorders>
              <w:top w:val="nil"/>
              <w:left w:val="nil"/>
              <w:bottom w:val="nil"/>
              <w:right w:val="nil"/>
            </w:tcBorders>
            <w:tcMar>
              <w:top w:w="0" w:type="dxa"/>
              <w:left w:w="108" w:type="dxa"/>
              <w:bottom w:w="0" w:type="dxa"/>
              <w:right w:w="108" w:type="dxa"/>
            </w:tcMar>
            <w:hideMark/>
          </w:tcPr>
          <w:p w14:paraId="0DDEE149"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3,511</w:t>
            </w:r>
          </w:p>
        </w:tc>
        <w:tc>
          <w:tcPr>
            <w:tcW w:w="2160" w:type="dxa"/>
            <w:gridSpan w:val="2"/>
            <w:tcMar>
              <w:top w:w="0" w:type="dxa"/>
              <w:left w:w="108" w:type="dxa"/>
              <w:bottom w:w="0" w:type="dxa"/>
              <w:right w:w="108" w:type="dxa"/>
            </w:tcMar>
            <w:hideMark/>
          </w:tcPr>
          <w:p w14:paraId="3A7555E8" w14:textId="77777777" w:rsidR="006E5C07" w:rsidRPr="006E5C07" w:rsidRDefault="006E5C07" w:rsidP="006E5C07">
            <w:pPr>
              <w:spacing w:after="0" w:line="240" w:lineRule="auto"/>
              <w:ind w:hanging="113"/>
              <w:jc w:val="both"/>
              <w:rPr>
                <w:rFonts w:ascii="Calibri" w:eastAsia="Times New Roman" w:hAnsi="Calibri" w:cs="Calibri"/>
              </w:rPr>
            </w:pPr>
          </w:p>
        </w:tc>
      </w:tr>
      <w:tr w:rsidR="006E5C07" w:rsidRPr="006E5C07" w14:paraId="4FEFDAB4" w14:textId="77777777" w:rsidTr="006E5C07">
        <w:trPr>
          <w:trHeight w:val="310"/>
        </w:trPr>
        <w:tc>
          <w:tcPr>
            <w:tcW w:w="5454" w:type="dxa"/>
            <w:gridSpan w:val="4"/>
            <w:tcMar>
              <w:top w:w="0" w:type="dxa"/>
              <w:left w:w="108" w:type="dxa"/>
              <w:bottom w:w="0" w:type="dxa"/>
              <w:right w:w="108" w:type="dxa"/>
            </w:tcMar>
            <w:hideMark/>
          </w:tcPr>
          <w:p w14:paraId="7D25C044" w14:textId="77777777" w:rsidR="006E5C07" w:rsidRPr="006E5C07" w:rsidRDefault="006E5C07" w:rsidP="006E5C07">
            <w:pPr>
              <w:spacing w:after="0" w:line="240" w:lineRule="auto"/>
              <w:ind w:hanging="113"/>
              <w:jc w:val="both"/>
              <w:rPr>
                <w:rFonts w:ascii="Calibri" w:eastAsia="Times New Roman" w:hAnsi="Calibri" w:cs="Calibri"/>
              </w:rPr>
            </w:pPr>
          </w:p>
        </w:tc>
        <w:tc>
          <w:tcPr>
            <w:tcW w:w="1344" w:type="dxa"/>
            <w:tcMar>
              <w:top w:w="0" w:type="dxa"/>
              <w:left w:w="108" w:type="dxa"/>
              <w:bottom w:w="0" w:type="dxa"/>
              <w:right w:w="108" w:type="dxa"/>
            </w:tcMar>
            <w:hideMark/>
          </w:tcPr>
          <w:p w14:paraId="2C4DFA93" w14:textId="77777777" w:rsidR="006E5C07" w:rsidRPr="006E5C07" w:rsidRDefault="006E5C07" w:rsidP="006E5C07">
            <w:pPr>
              <w:spacing w:after="0" w:line="240" w:lineRule="auto"/>
              <w:ind w:hanging="113"/>
              <w:jc w:val="right"/>
              <w:rPr>
                <w:rFonts w:ascii="Calibri" w:eastAsia="Times New Roman" w:hAnsi="Calibri" w:cs="Calibri"/>
              </w:rPr>
            </w:pPr>
          </w:p>
        </w:tc>
        <w:tc>
          <w:tcPr>
            <w:tcW w:w="67" w:type="dxa"/>
            <w:tcMar>
              <w:top w:w="0" w:type="dxa"/>
              <w:left w:w="108" w:type="dxa"/>
              <w:bottom w:w="0" w:type="dxa"/>
              <w:right w:w="108" w:type="dxa"/>
            </w:tcMar>
            <w:hideMark/>
          </w:tcPr>
          <w:p w14:paraId="46929545" w14:textId="77777777" w:rsidR="006E5C07" w:rsidRPr="006E5C07" w:rsidRDefault="006E5C07" w:rsidP="006E5C07">
            <w:pPr>
              <w:spacing w:after="0" w:line="240" w:lineRule="auto"/>
              <w:ind w:hanging="113"/>
              <w:jc w:val="both"/>
              <w:rPr>
                <w:rFonts w:ascii="Calibri" w:eastAsia="Times New Roman" w:hAnsi="Calibri" w:cs="Calibri"/>
              </w:rPr>
            </w:pPr>
          </w:p>
        </w:tc>
        <w:tc>
          <w:tcPr>
            <w:tcW w:w="1343" w:type="dxa"/>
            <w:tcMar>
              <w:top w:w="0" w:type="dxa"/>
              <w:left w:w="108" w:type="dxa"/>
              <w:bottom w:w="0" w:type="dxa"/>
              <w:right w:w="108" w:type="dxa"/>
            </w:tcMar>
            <w:hideMark/>
          </w:tcPr>
          <w:p w14:paraId="007556EE" w14:textId="77777777" w:rsidR="006E5C07" w:rsidRPr="006E5C07" w:rsidRDefault="006E5C07" w:rsidP="006E5C07">
            <w:pPr>
              <w:spacing w:after="0" w:line="240" w:lineRule="auto"/>
              <w:ind w:hanging="113"/>
              <w:jc w:val="right"/>
              <w:rPr>
                <w:rFonts w:ascii="Calibri" w:eastAsia="Times New Roman" w:hAnsi="Calibri" w:cs="Calibri"/>
              </w:rPr>
            </w:pPr>
          </w:p>
        </w:tc>
        <w:tc>
          <w:tcPr>
            <w:tcW w:w="2160" w:type="dxa"/>
            <w:gridSpan w:val="2"/>
            <w:tcMar>
              <w:top w:w="0" w:type="dxa"/>
              <w:left w:w="108" w:type="dxa"/>
              <w:bottom w:w="0" w:type="dxa"/>
              <w:right w:w="108" w:type="dxa"/>
            </w:tcMar>
            <w:hideMark/>
          </w:tcPr>
          <w:p w14:paraId="30949A4A" w14:textId="77777777" w:rsidR="006E5C07" w:rsidRPr="006E5C07" w:rsidRDefault="006E5C07" w:rsidP="006E5C07">
            <w:pPr>
              <w:spacing w:after="0" w:line="240" w:lineRule="auto"/>
              <w:ind w:hanging="113"/>
              <w:jc w:val="both"/>
              <w:rPr>
                <w:rFonts w:ascii="Calibri" w:eastAsia="Times New Roman" w:hAnsi="Calibri" w:cs="Calibri"/>
              </w:rPr>
            </w:pPr>
          </w:p>
        </w:tc>
      </w:tr>
      <w:tr w:rsidR="006E5C07" w:rsidRPr="006E5C07" w14:paraId="22EE0A92" w14:textId="77777777" w:rsidTr="006E5C07">
        <w:trPr>
          <w:trHeight w:val="418"/>
        </w:trPr>
        <w:tc>
          <w:tcPr>
            <w:tcW w:w="5454" w:type="dxa"/>
            <w:gridSpan w:val="4"/>
            <w:tcMar>
              <w:top w:w="0" w:type="dxa"/>
              <w:left w:w="108" w:type="dxa"/>
              <w:bottom w:w="0" w:type="dxa"/>
              <w:right w:w="108" w:type="dxa"/>
            </w:tcMar>
            <w:hideMark/>
          </w:tcPr>
          <w:p w14:paraId="3FA61E38" w14:textId="77777777" w:rsidR="006E5C07" w:rsidRPr="006E5C07" w:rsidRDefault="006E5C07" w:rsidP="006E5C07">
            <w:pPr>
              <w:spacing w:after="0" w:line="240" w:lineRule="auto"/>
              <w:ind w:hanging="113"/>
              <w:jc w:val="both"/>
              <w:rPr>
                <w:rFonts w:ascii="Calibri" w:eastAsia="Times New Roman" w:hAnsi="Calibri" w:cs="Calibri"/>
                <w:b/>
                <w:bCs/>
              </w:rPr>
            </w:pPr>
            <w:r w:rsidRPr="006E5C07">
              <w:rPr>
                <w:rFonts w:ascii="Gill Sans MT" w:eastAsia="Times New Roman" w:hAnsi="Gill Sans MT" w:cs="Calibri"/>
                <w:b/>
                <w:bCs/>
                <w:sz w:val="18"/>
                <w:szCs w:val="18"/>
              </w:rPr>
              <w:t> </w:t>
            </w:r>
          </w:p>
          <w:p w14:paraId="62E21F03" w14:textId="77777777" w:rsidR="006E5C07" w:rsidRPr="006E5C07" w:rsidRDefault="006E5C07" w:rsidP="006E5C07">
            <w:pPr>
              <w:spacing w:after="0" w:line="240" w:lineRule="auto"/>
              <w:ind w:hanging="113"/>
              <w:jc w:val="both"/>
              <w:rPr>
                <w:rFonts w:ascii="Calibri" w:eastAsia="Times New Roman" w:hAnsi="Calibri" w:cs="Calibri"/>
                <w:b/>
                <w:bCs/>
              </w:rPr>
            </w:pPr>
            <w:r w:rsidRPr="006E5C07">
              <w:rPr>
                <w:rFonts w:ascii="Gill Sans MT" w:eastAsia="Times New Roman" w:hAnsi="Gill Sans MT" w:cs="Calibri"/>
                <w:b/>
                <w:bCs/>
                <w:sz w:val="18"/>
                <w:szCs w:val="18"/>
              </w:rPr>
              <w:t>Consolidated statement of financial position</w:t>
            </w:r>
          </w:p>
        </w:tc>
        <w:tc>
          <w:tcPr>
            <w:tcW w:w="1344" w:type="dxa"/>
            <w:tcMar>
              <w:top w:w="0" w:type="dxa"/>
              <w:left w:w="108" w:type="dxa"/>
              <w:bottom w:w="0" w:type="dxa"/>
              <w:right w:w="108" w:type="dxa"/>
            </w:tcMar>
            <w:hideMark/>
          </w:tcPr>
          <w:p w14:paraId="17CC99AC"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31 December '20</w:t>
            </w:r>
          </w:p>
          <w:p w14:paraId="1F301E53"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£'000</w:t>
            </w:r>
          </w:p>
        </w:tc>
        <w:tc>
          <w:tcPr>
            <w:tcW w:w="67" w:type="dxa"/>
            <w:tcMar>
              <w:top w:w="0" w:type="dxa"/>
              <w:left w:w="108" w:type="dxa"/>
              <w:bottom w:w="0" w:type="dxa"/>
              <w:right w:w="108" w:type="dxa"/>
            </w:tcMar>
            <w:hideMark/>
          </w:tcPr>
          <w:p w14:paraId="14080A88" w14:textId="77777777" w:rsidR="006E5C07" w:rsidRPr="006E5C07" w:rsidRDefault="006E5C07" w:rsidP="006E5C07">
            <w:pPr>
              <w:spacing w:after="0" w:line="240" w:lineRule="auto"/>
              <w:ind w:hanging="113"/>
              <w:jc w:val="right"/>
              <w:rPr>
                <w:rFonts w:ascii="Calibri" w:eastAsia="Times New Roman" w:hAnsi="Calibri" w:cs="Calibri"/>
              </w:rPr>
            </w:pPr>
          </w:p>
        </w:tc>
        <w:tc>
          <w:tcPr>
            <w:tcW w:w="1343" w:type="dxa"/>
            <w:tcMar>
              <w:top w:w="0" w:type="dxa"/>
              <w:left w:w="108" w:type="dxa"/>
              <w:bottom w:w="0" w:type="dxa"/>
              <w:right w:w="108" w:type="dxa"/>
            </w:tcMar>
            <w:hideMark/>
          </w:tcPr>
          <w:p w14:paraId="1388B59C"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31 December '19</w:t>
            </w:r>
          </w:p>
          <w:p w14:paraId="7EABEFF8"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£'000</w:t>
            </w:r>
          </w:p>
        </w:tc>
        <w:tc>
          <w:tcPr>
            <w:tcW w:w="2160" w:type="dxa"/>
            <w:gridSpan w:val="2"/>
            <w:tcMar>
              <w:top w:w="0" w:type="dxa"/>
              <w:left w:w="108" w:type="dxa"/>
              <w:bottom w:w="0" w:type="dxa"/>
              <w:right w:w="108" w:type="dxa"/>
            </w:tcMar>
            <w:hideMark/>
          </w:tcPr>
          <w:p w14:paraId="2521F62E" w14:textId="77777777" w:rsidR="006E5C07" w:rsidRPr="006E5C07" w:rsidRDefault="006E5C07" w:rsidP="006E5C07">
            <w:pPr>
              <w:spacing w:after="0" w:line="240" w:lineRule="auto"/>
              <w:ind w:hanging="113"/>
              <w:jc w:val="both"/>
              <w:rPr>
                <w:rFonts w:ascii="Calibri" w:eastAsia="Times New Roman" w:hAnsi="Calibri" w:cs="Calibri"/>
              </w:rPr>
            </w:pPr>
          </w:p>
        </w:tc>
      </w:tr>
      <w:tr w:rsidR="006E5C07" w:rsidRPr="006E5C07" w14:paraId="56A2469E" w14:textId="77777777" w:rsidTr="006E5C07">
        <w:trPr>
          <w:trHeight w:val="418"/>
        </w:trPr>
        <w:tc>
          <w:tcPr>
            <w:tcW w:w="5454" w:type="dxa"/>
            <w:gridSpan w:val="4"/>
            <w:tcMar>
              <w:top w:w="0" w:type="dxa"/>
              <w:left w:w="108" w:type="dxa"/>
              <w:bottom w:w="0" w:type="dxa"/>
              <w:right w:w="108" w:type="dxa"/>
            </w:tcMar>
            <w:hideMark/>
          </w:tcPr>
          <w:p w14:paraId="21183DEF" w14:textId="77777777" w:rsidR="006E5C07" w:rsidRPr="006E5C07" w:rsidRDefault="006E5C07" w:rsidP="006E5C07">
            <w:pPr>
              <w:spacing w:after="0" w:line="240" w:lineRule="auto"/>
              <w:ind w:hanging="113"/>
              <w:jc w:val="both"/>
              <w:rPr>
                <w:rFonts w:ascii="Calibri" w:eastAsia="Times New Roman" w:hAnsi="Calibri" w:cs="Calibri"/>
              </w:rPr>
            </w:pPr>
            <w:r w:rsidRPr="006E5C07">
              <w:rPr>
                <w:rFonts w:ascii="Gill Sans MT" w:eastAsia="Times New Roman" w:hAnsi="Gill Sans MT" w:cs="Calibri"/>
                <w:sz w:val="18"/>
                <w:szCs w:val="18"/>
              </w:rPr>
              <w:t> </w:t>
            </w:r>
          </w:p>
          <w:p w14:paraId="3A0CCAD3" w14:textId="77777777" w:rsidR="006E5C07" w:rsidRPr="006E5C07" w:rsidRDefault="006E5C07" w:rsidP="006E5C07">
            <w:pPr>
              <w:spacing w:after="0" w:line="240" w:lineRule="auto"/>
              <w:ind w:hanging="113"/>
              <w:jc w:val="both"/>
              <w:rPr>
                <w:rFonts w:ascii="Calibri" w:eastAsia="Times New Roman" w:hAnsi="Calibri" w:cs="Calibri"/>
              </w:rPr>
            </w:pPr>
            <w:r w:rsidRPr="006E5C07">
              <w:rPr>
                <w:rFonts w:ascii="Gill Sans MT" w:eastAsia="Times New Roman" w:hAnsi="Gill Sans MT" w:cs="Calibri"/>
                <w:sz w:val="18"/>
                <w:szCs w:val="18"/>
              </w:rPr>
              <w:t>Deferred revenue - previous policy</w:t>
            </w:r>
          </w:p>
          <w:p w14:paraId="17CDC1B1" w14:textId="77777777" w:rsidR="006E5C07" w:rsidRPr="006E5C07" w:rsidRDefault="006E5C07" w:rsidP="006E5C07">
            <w:pPr>
              <w:spacing w:after="0" w:line="240" w:lineRule="auto"/>
              <w:ind w:hanging="113"/>
              <w:jc w:val="both"/>
              <w:rPr>
                <w:rFonts w:ascii="Calibri" w:eastAsia="Times New Roman" w:hAnsi="Calibri" w:cs="Calibri"/>
              </w:rPr>
            </w:pPr>
            <w:r w:rsidRPr="006E5C07">
              <w:rPr>
                <w:rFonts w:ascii="Gill Sans MT" w:eastAsia="Times New Roman" w:hAnsi="Gill Sans MT" w:cs="Calibri"/>
                <w:sz w:val="18"/>
                <w:szCs w:val="18"/>
              </w:rPr>
              <w:t>Increase in deferred revenue</w:t>
            </w:r>
          </w:p>
        </w:tc>
        <w:tc>
          <w:tcPr>
            <w:tcW w:w="1344" w:type="dxa"/>
            <w:tcBorders>
              <w:top w:val="nil"/>
              <w:left w:val="nil"/>
              <w:bottom w:val="single" w:sz="8" w:space="0" w:color="auto"/>
              <w:right w:val="nil"/>
            </w:tcBorders>
            <w:tcMar>
              <w:top w:w="0" w:type="dxa"/>
              <w:left w:w="108" w:type="dxa"/>
              <w:bottom w:w="0" w:type="dxa"/>
              <w:right w:w="108" w:type="dxa"/>
            </w:tcMar>
            <w:hideMark/>
          </w:tcPr>
          <w:p w14:paraId="4B8C7040"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 </w:t>
            </w:r>
          </w:p>
          <w:p w14:paraId="65BB35FE"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w:t>
            </w:r>
          </w:p>
          <w:p w14:paraId="5A133CF2"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372</w:t>
            </w:r>
          </w:p>
        </w:tc>
        <w:tc>
          <w:tcPr>
            <w:tcW w:w="67" w:type="dxa"/>
            <w:tcMar>
              <w:top w:w="0" w:type="dxa"/>
              <w:left w:w="108" w:type="dxa"/>
              <w:bottom w:w="0" w:type="dxa"/>
              <w:right w:w="108" w:type="dxa"/>
            </w:tcMar>
            <w:hideMark/>
          </w:tcPr>
          <w:p w14:paraId="2F15EA6E" w14:textId="77777777" w:rsidR="006E5C07" w:rsidRPr="006E5C07" w:rsidRDefault="006E5C07" w:rsidP="006E5C07">
            <w:pPr>
              <w:spacing w:after="0" w:line="240" w:lineRule="auto"/>
              <w:ind w:hanging="113"/>
              <w:jc w:val="right"/>
              <w:rPr>
                <w:rFonts w:ascii="Calibri" w:eastAsia="Times New Roman" w:hAnsi="Calibri" w:cs="Calibri"/>
              </w:rPr>
            </w:pPr>
          </w:p>
        </w:tc>
        <w:tc>
          <w:tcPr>
            <w:tcW w:w="1343" w:type="dxa"/>
            <w:tcBorders>
              <w:top w:val="nil"/>
              <w:left w:val="nil"/>
              <w:bottom w:val="single" w:sz="8" w:space="0" w:color="auto"/>
              <w:right w:val="nil"/>
            </w:tcBorders>
            <w:tcMar>
              <w:top w:w="0" w:type="dxa"/>
              <w:left w:w="108" w:type="dxa"/>
              <w:bottom w:w="0" w:type="dxa"/>
              <w:right w:w="108" w:type="dxa"/>
            </w:tcMar>
            <w:hideMark/>
          </w:tcPr>
          <w:p w14:paraId="76CF419E"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 </w:t>
            </w:r>
          </w:p>
          <w:p w14:paraId="08154B6E"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w:t>
            </w:r>
          </w:p>
          <w:p w14:paraId="33FB6658"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972</w:t>
            </w:r>
          </w:p>
        </w:tc>
        <w:tc>
          <w:tcPr>
            <w:tcW w:w="2160" w:type="dxa"/>
            <w:gridSpan w:val="2"/>
            <w:tcMar>
              <w:top w:w="0" w:type="dxa"/>
              <w:left w:w="108" w:type="dxa"/>
              <w:bottom w:w="0" w:type="dxa"/>
              <w:right w:w="108" w:type="dxa"/>
            </w:tcMar>
            <w:hideMark/>
          </w:tcPr>
          <w:p w14:paraId="4E921E53" w14:textId="77777777" w:rsidR="006E5C07" w:rsidRPr="006E5C07" w:rsidRDefault="006E5C07" w:rsidP="006E5C07">
            <w:pPr>
              <w:spacing w:after="0" w:line="240" w:lineRule="auto"/>
              <w:ind w:hanging="113"/>
              <w:jc w:val="both"/>
              <w:rPr>
                <w:rFonts w:ascii="Calibri" w:eastAsia="Times New Roman" w:hAnsi="Calibri" w:cs="Calibri"/>
              </w:rPr>
            </w:pPr>
          </w:p>
        </w:tc>
      </w:tr>
      <w:tr w:rsidR="006E5C07" w:rsidRPr="006E5C07" w14:paraId="4EA59A7A" w14:textId="77777777" w:rsidTr="006E5C07">
        <w:trPr>
          <w:trHeight w:val="505"/>
        </w:trPr>
        <w:tc>
          <w:tcPr>
            <w:tcW w:w="5454" w:type="dxa"/>
            <w:gridSpan w:val="4"/>
            <w:tcMar>
              <w:top w:w="0" w:type="dxa"/>
              <w:left w:w="108" w:type="dxa"/>
              <w:bottom w:w="0" w:type="dxa"/>
              <w:right w:w="108" w:type="dxa"/>
            </w:tcMar>
            <w:hideMark/>
          </w:tcPr>
          <w:p w14:paraId="2A7C0DE4" w14:textId="77777777" w:rsidR="006E5C07" w:rsidRPr="006E5C07" w:rsidRDefault="006E5C07" w:rsidP="006E5C07">
            <w:pPr>
              <w:spacing w:after="0" w:line="240" w:lineRule="auto"/>
              <w:ind w:hanging="113"/>
              <w:jc w:val="both"/>
              <w:rPr>
                <w:rFonts w:ascii="Calibri" w:eastAsia="Times New Roman" w:hAnsi="Calibri" w:cs="Calibri"/>
              </w:rPr>
            </w:pPr>
            <w:r w:rsidRPr="006E5C07">
              <w:rPr>
                <w:rFonts w:ascii="Gill Sans MT" w:eastAsia="Times New Roman" w:hAnsi="Gill Sans MT" w:cs="Calibri"/>
                <w:sz w:val="18"/>
                <w:szCs w:val="18"/>
              </w:rPr>
              <w:t>Deferred revenue - new policy</w:t>
            </w:r>
          </w:p>
        </w:tc>
        <w:tc>
          <w:tcPr>
            <w:tcW w:w="1344" w:type="dxa"/>
            <w:tcBorders>
              <w:top w:val="nil"/>
              <w:left w:val="nil"/>
              <w:bottom w:val="nil"/>
              <w:right w:val="nil"/>
            </w:tcBorders>
            <w:tcMar>
              <w:top w:w="0" w:type="dxa"/>
              <w:left w:w="108" w:type="dxa"/>
              <w:bottom w:w="0" w:type="dxa"/>
              <w:right w:w="108" w:type="dxa"/>
            </w:tcMar>
            <w:hideMark/>
          </w:tcPr>
          <w:p w14:paraId="742DAC48"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372</w:t>
            </w:r>
          </w:p>
        </w:tc>
        <w:tc>
          <w:tcPr>
            <w:tcW w:w="67" w:type="dxa"/>
            <w:tcMar>
              <w:top w:w="0" w:type="dxa"/>
              <w:left w:w="108" w:type="dxa"/>
              <w:bottom w:w="0" w:type="dxa"/>
              <w:right w:w="108" w:type="dxa"/>
            </w:tcMar>
            <w:hideMark/>
          </w:tcPr>
          <w:p w14:paraId="173738CD" w14:textId="77777777" w:rsidR="006E5C07" w:rsidRPr="006E5C07" w:rsidRDefault="006E5C07" w:rsidP="006E5C07">
            <w:pPr>
              <w:spacing w:after="0" w:line="240" w:lineRule="auto"/>
              <w:ind w:hanging="113"/>
              <w:jc w:val="right"/>
              <w:rPr>
                <w:rFonts w:ascii="Calibri" w:eastAsia="Times New Roman" w:hAnsi="Calibri" w:cs="Calibri"/>
              </w:rPr>
            </w:pPr>
          </w:p>
        </w:tc>
        <w:tc>
          <w:tcPr>
            <w:tcW w:w="1343" w:type="dxa"/>
            <w:tcBorders>
              <w:top w:val="nil"/>
              <w:left w:val="nil"/>
              <w:bottom w:val="nil"/>
              <w:right w:val="nil"/>
            </w:tcBorders>
            <w:tcMar>
              <w:top w:w="0" w:type="dxa"/>
              <w:left w:w="108" w:type="dxa"/>
              <w:bottom w:w="0" w:type="dxa"/>
              <w:right w:w="108" w:type="dxa"/>
            </w:tcMar>
            <w:hideMark/>
          </w:tcPr>
          <w:p w14:paraId="3C8AC0A7" w14:textId="77777777" w:rsidR="006E5C07" w:rsidRPr="006E5C07" w:rsidRDefault="006E5C07" w:rsidP="006E5C07">
            <w:pPr>
              <w:spacing w:after="0" w:line="240" w:lineRule="auto"/>
              <w:ind w:hanging="113"/>
              <w:jc w:val="right"/>
              <w:rPr>
                <w:rFonts w:ascii="Calibri" w:eastAsia="Times New Roman" w:hAnsi="Calibri" w:cs="Calibri"/>
              </w:rPr>
            </w:pPr>
            <w:r w:rsidRPr="006E5C07">
              <w:rPr>
                <w:rFonts w:ascii="Gill Sans MT" w:eastAsia="Times New Roman" w:hAnsi="Gill Sans MT" w:cs="Calibri"/>
                <w:sz w:val="18"/>
                <w:szCs w:val="18"/>
              </w:rPr>
              <w:t>972</w:t>
            </w:r>
          </w:p>
        </w:tc>
        <w:tc>
          <w:tcPr>
            <w:tcW w:w="2160" w:type="dxa"/>
            <w:gridSpan w:val="2"/>
            <w:tcMar>
              <w:top w:w="0" w:type="dxa"/>
              <w:left w:w="108" w:type="dxa"/>
              <w:bottom w:w="0" w:type="dxa"/>
              <w:right w:w="108" w:type="dxa"/>
            </w:tcMar>
            <w:hideMark/>
          </w:tcPr>
          <w:p w14:paraId="320D98A4" w14:textId="77777777" w:rsidR="006E5C07" w:rsidRPr="006E5C07" w:rsidRDefault="006E5C07" w:rsidP="006E5C07">
            <w:pPr>
              <w:spacing w:after="0" w:line="240" w:lineRule="auto"/>
              <w:ind w:hanging="113"/>
              <w:jc w:val="both"/>
              <w:rPr>
                <w:rFonts w:ascii="Calibri" w:eastAsia="Times New Roman" w:hAnsi="Calibri" w:cs="Calibri"/>
              </w:rPr>
            </w:pPr>
          </w:p>
        </w:tc>
      </w:tr>
      <w:tr w:rsidR="006E5C07" w:rsidRPr="006E5C07" w14:paraId="4FB55CED" w14:textId="77777777" w:rsidTr="006E5C07">
        <w:trPr>
          <w:trHeight w:val="105"/>
        </w:trPr>
        <w:tc>
          <w:tcPr>
            <w:tcW w:w="2139" w:type="dxa"/>
            <w:gridSpan w:val="2"/>
            <w:tcMar>
              <w:top w:w="0" w:type="dxa"/>
              <w:left w:w="108" w:type="dxa"/>
              <w:bottom w:w="0" w:type="dxa"/>
              <w:right w:w="108" w:type="dxa"/>
            </w:tcMar>
            <w:hideMark/>
          </w:tcPr>
          <w:p w14:paraId="42241E6D" w14:textId="77777777" w:rsidR="006E5C07" w:rsidRPr="006E5C07" w:rsidRDefault="006E5C07" w:rsidP="006E5C07">
            <w:pPr>
              <w:spacing w:after="0" w:line="240" w:lineRule="auto"/>
              <w:jc w:val="both"/>
              <w:rPr>
                <w:rFonts w:ascii="Calibri" w:eastAsia="Times New Roman" w:hAnsi="Calibri" w:cs="Calibri"/>
              </w:rPr>
            </w:pPr>
          </w:p>
        </w:tc>
        <w:tc>
          <w:tcPr>
            <w:tcW w:w="2248" w:type="dxa"/>
            <w:tcMar>
              <w:top w:w="0" w:type="dxa"/>
              <w:left w:w="108" w:type="dxa"/>
              <w:bottom w:w="0" w:type="dxa"/>
              <w:right w:w="108" w:type="dxa"/>
            </w:tcMar>
            <w:hideMark/>
          </w:tcPr>
          <w:p w14:paraId="7EB008D8" w14:textId="77777777" w:rsidR="006E5C07" w:rsidRPr="006E5C07" w:rsidRDefault="006E5C07" w:rsidP="006E5C07">
            <w:pPr>
              <w:spacing w:after="0" w:line="240" w:lineRule="auto"/>
              <w:ind w:hanging="113"/>
              <w:jc w:val="both"/>
              <w:rPr>
                <w:rFonts w:ascii="Calibri" w:eastAsia="Times New Roman" w:hAnsi="Calibri" w:cs="Calibri"/>
              </w:rPr>
            </w:pPr>
          </w:p>
        </w:tc>
        <w:tc>
          <w:tcPr>
            <w:tcW w:w="2248" w:type="dxa"/>
            <w:gridSpan w:val="2"/>
            <w:tcMar>
              <w:top w:w="0" w:type="dxa"/>
              <w:left w:w="108" w:type="dxa"/>
              <w:bottom w:w="0" w:type="dxa"/>
              <w:right w:w="108" w:type="dxa"/>
            </w:tcMar>
            <w:hideMark/>
          </w:tcPr>
          <w:p w14:paraId="42505116" w14:textId="77777777" w:rsidR="006E5C07" w:rsidRPr="006E5C07" w:rsidRDefault="006E5C07" w:rsidP="006E5C07">
            <w:pPr>
              <w:spacing w:after="0" w:line="240" w:lineRule="auto"/>
              <w:ind w:hanging="113"/>
              <w:jc w:val="both"/>
              <w:rPr>
                <w:rFonts w:ascii="Calibri" w:eastAsia="Times New Roman" w:hAnsi="Calibri" w:cs="Calibri"/>
              </w:rPr>
            </w:pPr>
          </w:p>
        </w:tc>
        <w:tc>
          <w:tcPr>
            <w:tcW w:w="1485" w:type="dxa"/>
            <w:gridSpan w:val="2"/>
            <w:tcMar>
              <w:top w:w="0" w:type="dxa"/>
              <w:left w:w="108" w:type="dxa"/>
              <w:bottom w:w="0" w:type="dxa"/>
              <w:right w:w="108" w:type="dxa"/>
            </w:tcMar>
            <w:hideMark/>
          </w:tcPr>
          <w:p w14:paraId="1E439455" w14:textId="77777777" w:rsidR="006E5C07" w:rsidRPr="006E5C07" w:rsidRDefault="006E5C07" w:rsidP="006E5C07">
            <w:pPr>
              <w:spacing w:after="0" w:line="240" w:lineRule="auto"/>
              <w:ind w:hanging="113"/>
              <w:jc w:val="both"/>
              <w:rPr>
                <w:rFonts w:ascii="Calibri" w:eastAsia="Times New Roman" w:hAnsi="Calibri" w:cs="Calibri"/>
              </w:rPr>
            </w:pPr>
          </w:p>
        </w:tc>
        <w:tc>
          <w:tcPr>
            <w:tcW w:w="2248" w:type="dxa"/>
            <w:gridSpan w:val="2"/>
            <w:tcMar>
              <w:top w:w="0" w:type="dxa"/>
              <w:left w:w="108" w:type="dxa"/>
              <w:bottom w:w="0" w:type="dxa"/>
              <w:right w:w="108" w:type="dxa"/>
            </w:tcMar>
            <w:hideMark/>
          </w:tcPr>
          <w:p w14:paraId="219E4477" w14:textId="77777777" w:rsidR="006E5C07" w:rsidRPr="006E5C07" w:rsidRDefault="006E5C07" w:rsidP="006E5C07">
            <w:pPr>
              <w:spacing w:after="0" w:line="240" w:lineRule="auto"/>
              <w:ind w:hanging="113"/>
              <w:jc w:val="both"/>
              <w:rPr>
                <w:rFonts w:ascii="Calibri" w:eastAsia="Times New Roman" w:hAnsi="Calibri" w:cs="Calibri"/>
              </w:rPr>
            </w:pPr>
          </w:p>
        </w:tc>
      </w:tr>
      <w:tr w:rsidR="006E5C07" w:rsidRPr="006E5C07" w14:paraId="0B828A67" w14:textId="77777777" w:rsidTr="006E5C07">
        <w:trPr>
          <w:trHeight w:val="187"/>
        </w:trPr>
        <w:tc>
          <w:tcPr>
            <w:tcW w:w="10982" w:type="dxa"/>
            <w:gridSpan w:val="8"/>
            <w:tcMar>
              <w:top w:w="0" w:type="dxa"/>
              <w:left w:w="108" w:type="dxa"/>
              <w:bottom w:w="0" w:type="dxa"/>
              <w:right w:w="108" w:type="dxa"/>
            </w:tcMar>
            <w:hideMark/>
          </w:tcPr>
          <w:p w14:paraId="7BBAC5D0" w14:textId="77777777" w:rsidR="006E5C07" w:rsidRPr="006E5C07" w:rsidRDefault="006E5C07" w:rsidP="006E5C07">
            <w:pPr>
              <w:spacing w:after="0" w:line="240" w:lineRule="auto"/>
              <w:jc w:val="both"/>
              <w:rPr>
                <w:rFonts w:ascii="Calibri" w:eastAsia="Times New Roman" w:hAnsi="Calibri" w:cs="Calibri"/>
              </w:rPr>
            </w:pPr>
            <w:r w:rsidRPr="006E5C07">
              <w:rPr>
                <w:rFonts w:ascii="Gill Sans MT" w:eastAsia="Times New Roman" w:hAnsi="Gill Sans MT" w:cs="Calibri"/>
                <w:sz w:val="18"/>
                <w:szCs w:val="18"/>
              </w:rPr>
              <w:lastRenderedPageBreak/>
              <w:t>Under the new revenue recognition policy, deferred revenue at 31 December 2018 has increased to £964k from £nil. The impact of this is shown in the Statement of Changes in Equity.</w:t>
            </w:r>
          </w:p>
        </w:tc>
        <w:tc>
          <w:tcPr>
            <w:tcW w:w="0" w:type="auto"/>
            <w:tcBorders>
              <w:top w:val="nil"/>
              <w:left w:val="nil"/>
              <w:bottom w:val="nil"/>
              <w:right w:val="nil"/>
            </w:tcBorders>
            <w:vAlign w:val="center"/>
            <w:hideMark/>
          </w:tcPr>
          <w:p w14:paraId="4743B4F9" w14:textId="77777777" w:rsidR="006E5C07" w:rsidRPr="006E5C07" w:rsidRDefault="006E5C07" w:rsidP="006E5C07">
            <w:pPr>
              <w:spacing w:after="200" w:line="253" w:lineRule="atLeast"/>
              <w:rPr>
                <w:rFonts w:ascii="Calibri" w:eastAsia="Times New Roman" w:hAnsi="Calibri" w:cs="Calibri"/>
              </w:rPr>
            </w:pPr>
            <w:r w:rsidRPr="006E5C07">
              <w:rPr>
                <w:rFonts w:ascii="Calibri" w:eastAsia="Times New Roman" w:hAnsi="Calibri" w:cs="Calibri"/>
              </w:rPr>
              <w:t> </w:t>
            </w:r>
          </w:p>
        </w:tc>
      </w:tr>
      <w:tr w:rsidR="006E5C07" w:rsidRPr="006E5C07" w14:paraId="2F95F3F8" w14:textId="77777777" w:rsidTr="006E5C07">
        <w:tc>
          <w:tcPr>
            <w:tcW w:w="0" w:type="auto"/>
            <w:tcBorders>
              <w:top w:val="nil"/>
              <w:left w:val="nil"/>
              <w:bottom w:val="nil"/>
              <w:right w:val="nil"/>
            </w:tcBorders>
            <w:vAlign w:val="center"/>
            <w:hideMark/>
          </w:tcPr>
          <w:p w14:paraId="2A045202" w14:textId="77777777" w:rsidR="006E5C07" w:rsidRPr="006E5C07" w:rsidRDefault="006E5C07" w:rsidP="006E5C07">
            <w:pPr>
              <w:spacing w:after="0" w:line="240" w:lineRule="auto"/>
              <w:rPr>
                <w:rFonts w:ascii="Calibri" w:eastAsia="Times New Roman" w:hAnsi="Calibri" w:cs="Calibri"/>
              </w:rPr>
            </w:pPr>
          </w:p>
        </w:tc>
        <w:tc>
          <w:tcPr>
            <w:tcW w:w="0" w:type="auto"/>
            <w:tcBorders>
              <w:top w:val="nil"/>
              <w:left w:val="nil"/>
              <w:bottom w:val="nil"/>
              <w:right w:val="nil"/>
            </w:tcBorders>
            <w:vAlign w:val="center"/>
            <w:hideMark/>
          </w:tcPr>
          <w:p w14:paraId="02CAE03C" w14:textId="77777777" w:rsidR="006E5C07" w:rsidRPr="006E5C07" w:rsidRDefault="006E5C07" w:rsidP="006E5C0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3C09188B" w14:textId="77777777" w:rsidR="006E5C07" w:rsidRPr="006E5C07" w:rsidRDefault="006E5C07" w:rsidP="006E5C0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43FF4F8F" w14:textId="77777777" w:rsidR="006E5C07" w:rsidRPr="006E5C07" w:rsidRDefault="006E5C07" w:rsidP="006E5C0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349C013C" w14:textId="77777777" w:rsidR="006E5C07" w:rsidRPr="006E5C07" w:rsidRDefault="006E5C07" w:rsidP="006E5C0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5FE81DEE" w14:textId="77777777" w:rsidR="006E5C07" w:rsidRPr="006E5C07" w:rsidRDefault="006E5C07" w:rsidP="006E5C0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66D12A12" w14:textId="77777777" w:rsidR="006E5C07" w:rsidRPr="006E5C07" w:rsidRDefault="006E5C07" w:rsidP="006E5C0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0147E2FD" w14:textId="77777777" w:rsidR="006E5C07" w:rsidRPr="006E5C07" w:rsidRDefault="006E5C07" w:rsidP="006E5C0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3DDBAD59" w14:textId="77777777" w:rsidR="006E5C07" w:rsidRPr="006E5C07" w:rsidRDefault="006E5C07" w:rsidP="006E5C07">
            <w:pPr>
              <w:spacing w:after="0" w:line="240" w:lineRule="auto"/>
              <w:rPr>
                <w:rFonts w:ascii="Times New Roman" w:eastAsia="Times New Roman" w:hAnsi="Times New Roman" w:cs="Times New Roman"/>
                <w:sz w:val="20"/>
                <w:szCs w:val="20"/>
              </w:rPr>
            </w:pPr>
          </w:p>
        </w:tc>
      </w:tr>
    </w:tbl>
    <w:p w14:paraId="26BD3EB9"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451BF994" w14:textId="77777777" w:rsidR="006E5C07" w:rsidRPr="006E5C07" w:rsidRDefault="006E5C07" w:rsidP="006E5C07">
      <w:pPr>
        <w:spacing w:after="200" w:line="253" w:lineRule="atLeast"/>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Interest income</w:t>
      </w:r>
    </w:p>
    <w:p w14:paraId="5D426959"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Interest income from a financial asset is recognised when it is probable that the economic benefits will flow to the Group and the amount of income can be measured reliably. Interest income is accrued on a time basis, by reference to the principal outstanding and at the effective interest rate applicable, which is the rate that exactly discounts estimated future cash receipts through the expected life of the financial asset to the asset's net carrying amount on initial recognition.</w:t>
      </w:r>
    </w:p>
    <w:p w14:paraId="57D05937" w14:textId="77777777" w:rsidR="006E5C07" w:rsidRPr="006E5C07" w:rsidRDefault="006E5C07" w:rsidP="006E5C07">
      <w:pPr>
        <w:spacing w:after="200" w:line="253" w:lineRule="atLeast"/>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Leasing</w:t>
      </w:r>
    </w:p>
    <w:p w14:paraId="6EFB83AC" w14:textId="77777777" w:rsidR="006E5C07" w:rsidRPr="006E5C07" w:rsidRDefault="006E5C07" w:rsidP="006E5C07">
      <w:pPr>
        <w:spacing w:before="240" w:after="240" w:line="240" w:lineRule="auto"/>
        <w:jc w:val="both"/>
        <w:rPr>
          <w:rFonts w:ascii="Calibri" w:eastAsia="Times New Roman" w:hAnsi="Calibri" w:cs="Calibri"/>
          <w:color w:val="16202C"/>
        </w:rPr>
      </w:pPr>
      <w:r w:rsidRPr="006E5C07">
        <w:rPr>
          <w:rFonts w:ascii="Gill Sans MT" w:eastAsia="Times New Roman" w:hAnsi="Gill Sans MT" w:cs="Calibri"/>
          <w:color w:val="000000"/>
          <w:sz w:val="18"/>
          <w:szCs w:val="18"/>
        </w:rPr>
        <w:t>IFRS 16 requires capitalisation of all leasing agreements with duration exceeding 12 months, whereas the previous regulations only required capitalisation of finance leases. The right-of-use asset and liability to be recognised for each leasing agreement is the present value of the lease payments.</w:t>
      </w:r>
    </w:p>
    <w:p w14:paraId="41F73E84" w14:textId="77777777" w:rsidR="006E5C07" w:rsidRPr="006E5C07" w:rsidRDefault="006E5C07" w:rsidP="006E5C07">
      <w:pPr>
        <w:spacing w:before="240" w:after="240" w:line="240" w:lineRule="auto"/>
        <w:jc w:val="both"/>
        <w:rPr>
          <w:rFonts w:ascii="Calibri" w:eastAsia="Times New Roman" w:hAnsi="Calibri" w:cs="Calibri"/>
          <w:color w:val="16202C"/>
        </w:rPr>
      </w:pPr>
      <w:r w:rsidRPr="006E5C07">
        <w:rPr>
          <w:rFonts w:ascii="Gill Sans MT" w:eastAsia="Times New Roman" w:hAnsi="Gill Sans MT" w:cs="Calibri"/>
          <w:color w:val="000000"/>
          <w:sz w:val="18"/>
          <w:szCs w:val="18"/>
        </w:rPr>
        <w:t>The Group has adopted IFRS 16 retrospectively from 1 January 2019 using the modified retrospective approach, as permitted under the specific transitional provisions in the standard.</w:t>
      </w:r>
    </w:p>
    <w:p w14:paraId="4526307C" w14:textId="77777777" w:rsidR="006E5C07" w:rsidRPr="006E5C07" w:rsidRDefault="006E5C07" w:rsidP="006E5C07">
      <w:pPr>
        <w:spacing w:before="240" w:after="240" w:line="240" w:lineRule="auto"/>
        <w:jc w:val="both"/>
        <w:rPr>
          <w:rFonts w:ascii="Calibri" w:eastAsia="Times New Roman" w:hAnsi="Calibri" w:cs="Calibri"/>
          <w:color w:val="16202C"/>
        </w:rPr>
      </w:pPr>
      <w:r w:rsidRPr="006E5C07">
        <w:rPr>
          <w:rFonts w:ascii="Gill Sans MT" w:eastAsia="Times New Roman" w:hAnsi="Gill Sans MT" w:cs="Calibri"/>
          <w:color w:val="000000"/>
          <w:sz w:val="18"/>
          <w:szCs w:val="18"/>
        </w:rPr>
        <w:t>The Group applied the following practical expedients as permitted by the standard on transition:</w:t>
      </w:r>
    </w:p>
    <w:p w14:paraId="651ED96A" w14:textId="77777777" w:rsidR="006E5C07" w:rsidRPr="006E5C07" w:rsidRDefault="006E5C07" w:rsidP="006E5C07">
      <w:pPr>
        <w:spacing w:before="240" w:after="240" w:line="240" w:lineRule="auto"/>
        <w:ind w:left="2160" w:hanging="360"/>
        <w:jc w:val="both"/>
        <w:rPr>
          <w:rFonts w:ascii="Calibri" w:eastAsia="Times New Roman" w:hAnsi="Calibri" w:cs="Calibri"/>
          <w:color w:val="16202C"/>
        </w:rPr>
      </w:pPr>
      <w:r w:rsidRPr="006E5C07">
        <w:rPr>
          <w:rFonts w:ascii="Symbol" w:eastAsia="Times New Roman" w:hAnsi="Symbol" w:cs="Calibri"/>
          <w:color w:val="000000"/>
          <w:sz w:val="18"/>
          <w:szCs w:val="18"/>
        </w:rPr>
        <w:t>·      </w:t>
      </w:r>
      <w:r w:rsidRPr="006E5C07">
        <w:rPr>
          <w:rFonts w:ascii="Gill Sans MT" w:eastAsia="Times New Roman" w:hAnsi="Gill Sans MT" w:cs="Calibri"/>
          <w:color w:val="000000"/>
          <w:sz w:val="18"/>
          <w:szCs w:val="18"/>
        </w:rPr>
        <w:t>non recognition of right of use assets and liabilities for leases of low value or for which the lease term ends within 12 months of the date of transition</w:t>
      </w:r>
    </w:p>
    <w:p w14:paraId="6B87A593" w14:textId="77777777" w:rsidR="006E5C07" w:rsidRPr="006E5C07" w:rsidRDefault="006E5C07" w:rsidP="006E5C07">
      <w:pPr>
        <w:spacing w:before="240" w:after="240" w:line="240" w:lineRule="auto"/>
        <w:ind w:left="2160" w:hanging="360"/>
        <w:jc w:val="both"/>
        <w:rPr>
          <w:rFonts w:ascii="Calibri" w:eastAsia="Times New Roman" w:hAnsi="Calibri" w:cs="Calibri"/>
          <w:color w:val="16202C"/>
        </w:rPr>
      </w:pPr>
      <w:r w:rsidRPr="006E5C07">
        <w:rPr>
          <w:rFonts w:ascii="Symbol" w:eastAsia="Times New Roman" w:hAnsi="Symbol" w:cs="Calibri"/>
          <w:color w:val="000000"/>
          <w:sz w:val="18"/>
          <w:szCs w:val="18"/>
        </w:rPr>
        <w:t>·      </w:t>
      </w:r>
      <w:r w:rsidRPr="006E5C07">
        <w:rPr>
          <w:rFonts w:ascii="Gill Sans MT" w:eastAsia="Times New Roman" w:hAnsi="Gill Sans MT" w:cs="Calibri"/>
          <w:color w:val="000000"/>
          <w:sz w:val="18"/>
          <w:szCs w:val="18"/>
        </w:rPr>
        <w:t>the use of a single discount rate to a portfolio of leases with reasonably similar characteristics</w:t>
      </w:r>
    </w:p>
    <w:p w14:paraId="4DE7F216" w14:textId="77777777" w:rsidR="006E5C07" w:rsidRPr="006E5C07" w:rsidRDefault="006E5C07" w:rsidP="006E5C07">
      <w:pPr>
        <w:spacing w:before="240" w:after="240" w:line="240" w:lineRule="auto"/>
        <w:ind w:left="2160" w:hanging="360"/>
        <w:jc w:val="both"/>
        <w:rPr>
          <w:rFonts w:ascii="Calibri" w:eastAsia="Times New Roman" w:hAnsi="Calibri" w:cs="Calibri"/>
          <w:color w:val="16202C"/>
        </w:rPr>
      </w:pPr>
      <w:r w:rsidRPr="006E5C07">
        <w:rPr>
          <w:rFonts w:ascii="Symbol" w:eastAsia="Times New Roman" w:hAnsi="Symbol" w:cs="Calibri"/>
          <w:color w:val="000000"/>
          <w:sz w:val="18"/>
          <w:szCs w:val="18"/>
        </w:rPr>
        <w:t>·      </w:t>
      </w:r>
      <w:r w:rsidRPr="006E5C07">
        <w:rPr>
          <w:rFonts w:ascii="Gill Sans MT" w:eastAsia="Times New Roman" w:hAnsi="Gill Sans MT" w:cs="Calibri"/>
          <w:color w:val="000000"/>
          <w:sz w:val="18"/>
          <w:szCs w:val="18"/>
        </w:rPr>
        <w:t>the exclusion of initial direct costs for the measurement of the right of use asset at the date of initial application</w:t>
      </w:r>
    </w:p>
    <w:p w14:paraId="563F0F3B" w14:textId="77777777" w:rsidR="006E5C07" w:rsidRPr="006E5C07" w:rsidRDefault="006E5C07" w:rsidP="006E5C07">
      <w:pPr>
        <w:spacing w:before="240" w:after="240" w:line="240" w:lineRule="auto"/>
        <w:ind w:left="2160" w:hanging="360"/>
        <w:jc w:val="both"/>
        <w:rPr>
          <w:rFonts w:ascii="Calibri" w:eastAsia="Times New Roman" w:hAnsi="Calibri" w:cs="Calibri"/>
          <w:color w:val="16202C"/>
        </w:rPr>
      </w:pPr>
      <w:r w:rsidRPr="006E5C07">
        <w:rPr>
          <w:rFonts w:ascii="Symbol" w:eastAsia="Times New Roman" w:hAnsi="Symbol" w:cs="Calibri"/>
          <w:color w:val="000000"/>
          <w:sz w:val="18"/>
          <w:szCs w:val="18"/>
        </w:rPr>
        <w:t>·      </w:t>
      </w:r>
      <w:r w:rsidRPr="006E5C07">
        <w:rPr>
          <w:rFonts w:ascii="Gill Sans MT" w:eastAsia="Times New Roman" w:hAnsi="Gill Sans MT" w:cs="Calibri"/>
          <w:color w:val="000000"/>
          <w:sz w:val="18"/>
          <w:szCs w:val="18"/>
        </w:rPr>
        <w:t>the use of hindsight in determining the lease term where the contract contains options to extend or terminate the lease.</w:t>
      </w:r>
    </w:p>
    <w:p w14:paraId="4C383116" w14:textId="77777777" w:rsidR="006E5C07" w:rsidRPr="006E5C07" w:rsidRDefault="006E5C07" w:rsidP="006E5C07">
      <w:pPr>
        <w:spacing w:before="240" w:after="240" w:line="240" w:lineRule="auto"/>
        <w:jc w:val="both"/>
        <w:rPr>
          <w:rFonts w:ascii="Calibri" w:eastAsia="Times New Roman" w:hAnsi="Calibri" w:cs="Calibri"/>
          <w:color w:val="16202C"/>
        </w:rPr>
      </w:pPr>
      <w:r w:rsidRPr="006E5C07">
        <w:rPr>
          <w:rFonts w:ascii="Gill Sans MT" w:eastAsia="Times New Roman" w:hAnsi="Gill Sans MT" w:cs="Calibri"/>
          <w:color w:val="000000"/>
          <w:sz w:val="18"/>
          <w:szCs w:val="18"/>
        </w:rPr>
        <w:t>At inception, the Group assesses whether a contract is, or contains, a lease within the scope of IFRS 16. A contract is, or contains, a lease if the contract conveys the right to control the use of an identified asset for a period of time in exchange for consideration. Where a tangible asset is acquired through a lease, the Group recognises a right-of-use asset and a lease liability at the lease commencement date. Right-of-use assets are included within property, plant and equipment.</w:t>
      </w:r>
    </w:p>
    <w:p w14:paraId="22BFECFD" w14:textId="77777777" w:rsidR="006E5C07" w:rsidRPr="006E5C07" w:rsidRDefault="006E5C07" w:rsidP="006E5C07">
      <w:pPr>
        <w:spacing w:before="240" w:after="240" w:line="240" w:lineRule="auto"/>
        <w:jc w:val="both"/>
        <w:rPr>
          <w:rFonts w:ascii="Calibri" w:eastAsia="Times New Roman" w:hAnsi="Calibri" w:cs="Calibri"/>
          <w:color w:val="16202C"/>
        </w:rPr>
      </w:pPr>
      <w:r w:rsidRPr="006E5C07">
        <w:rPr>
          <w:rFonts w:ascii="Gill Sans MT" w:eastAsia="Times New Roman" w:hAnsi="Gill Sans MT" w:cs="Calibri"/>
          <w:color w:val="000000"/>
          <w:sz w:val="18"/>
          <w:szCs w:val="18"/>
        </w:rPr>
        <w:t>The right-of-use asset is initially measured at cost, which comprises the present value of minimum lease payments determined at the inception of the lease.  The right-of-use asset is subsequently depreciated using the straight-line method from the commencement date to the earlier of the end of the useful life of the right-of-use asset or the end of the lease term. The estimated useful lives of right-of-use assets are determined on the same basis as those of other property, plant and equipment. The right-of-use asset is periodically reduced by impairment losses, if any, and adjusted for certain remeasurements of the lease liability.</w:t>
      </w:r>
    </w:p>
    <w:p w14:paraId="37F37124" w14:textId="77777777" w:rsidR="006E5C07" w:rsidRPr="006E5C07" w:rsidRDefault="006E5C07" w:rsidP="006E5C07">
      <w:pPr>
        <w:spacing w:before="240" w:after="240" w:line="240" w:lineRule="auto"/>
        <w:jc w:val="both"/>
        <w:rPr>
          <w:rFonts w:ascii="Calibri" w:eastAsia="Times New Roman" w:hAnsi="Calibri" w:cs="Calibri"/>
          <w:color w:val="16202C"/>
        </w:rPr>
      </w:pPr>
      <w:r w:rsidRPr="006E5C07">
        <w:rPr>
          <w:rFonts w:ascii="Gill Sans MT" w:eastAsia="Times New Roman" w:hAnsi="Gill Sans MT" w:cs="Calibri"/>
          <w:color w:val="000000"/>
          <w:sz w:val="18"/>
          <w:szCs w:val="18"/>
        </w:rPr>
        <w:t>The lease liability is initially measured at the present value of the lease payments that are unpaid at the commencement date, discounted using the interest rate implicit in the lease or, if that rate cannot be readily determined, the Group's incremental borrowing rate. Lease payments included in the measurement of the lease liability comprise fixed payments, variable lease payments that depend on an index or a rate, amounts expected to be payable under a residual value guarantee, and the cost of any options that the Group is reasonably certain to exercise, such as the exercise price under a purchase option, lease payments in an optional renewal period, or penalties for early termination of a lease.</w:t>
      </w:r>
    </w:p>
    <w:p w14:paraId="114833A5" w14:textId="77777777" w:rsidR="006E5C07" w:rsidRPr="006E5C07" w:rsidRDefault="006E5C07" w:rsidP="006E5C07">
      <w:pPr>
        <w:spacing w:before="240" w:after="240" w:line="240" w:lineRule="auto"/>
        <w:jc w:val="both"/>
        <w:rPr>
          <w:rFonts w:ascii="Calibri" w:eastAsia="Times New Roman" w:hAnsi="Calibri" w:cs="Calibri"/>
          <w:color w:val="16202C"/>
        </w:rPr>
      </w:pPr>
      <w:r w:rsidRPr="006E5C07">
        <w:rPr>
          <w:rFonts w:ascii="Gill Sans MT" w:eastAsia="Times New Roman" w:hAnsi="Gill Sans MT" w:cs="Calibri"/>
          <w:color w:val="000000"/>
          <w:sz w:val="18"/>
          <w:szCs w:val="18"/>
        </w:rPr>
        <w:t>The lease liability is remeasured when there is a change in: future lease payments arising from a change in an index or rate; the Group's estimate of the amount expected to be payable under a residual value guarantee; or the Group's assessment of whether it will exercise a purchase, extension or termination option. When the lease liability is remeasured in this way, a corresponding adjustment is made to the carrying amount of the right-of-use asset or is recorded in profit or loss if the carrying amount of the right-of-use asset has been reduced to zero.</w:t>
      </w:r>
    </w:p>
    <w:p w14:paraId="19F1F1F2" w14:textId="77777777" w:rsidR="006E5C07" w:rsidRPr="006E5C07" w:rsidRDefault="006E5C07" w:rsidP="006E5C07">
      <w:pPr>
        <w:spacing w:before="240" w:after="240" w:line="240" w:lineRule="auto"/>
        <w:jc w:val="both"/>
        <w:rPr>
          <w:rFonts w:ascii="Calibri" w:eastAsia="Times New Roman" w:hAnsi="Calibri" w:cs="Calibri"/>
          <w:color w:val="16202C"/>
        </w:rPr>
      </w:pPr>
      <w:r w:rsidRPr="006E5C07">
        <w:rPr>
          <w:rFonts w:ascii="Gill Sans MT" w:eastAsia="Times New Roman" w:hAnsi="Gill Sans MT" w:cs="Calibri"/>
          <w:color w:val="000000"/>
          <w:sz w:val="18"/>
          <w:szCs w:val="18"/>
        </w:rPr>
        <w:lastRenderedPageBreak/>
        <w:t>The Group has elected not to recognise right-of-use assets and lease liabilities for short-term leases of machinery that have a lease term of 12 months or less, or for leases of low-value assets including IT equipment. The payments associated with these leases are recognised in profit or loss on a straight-line basis over the lease term.</w:t>
      </w:r>
    </w:p>
    <w:p w14:paraId="71DBA2CF" w14:textId="77777777" w:rsidR="006E5C07" w:rsidRPr="006E5C07" w:rsidRDefault="006E5C07" w:rsidP="006E5C07">
      <w:pPr>
        <w:spacing w:before="240" w:after="240" w:line="240" w:lineRule="auto"/>
        <w:jc w:val="both"/>
        <w:rPr>
          <w:rFonts w:ascii="Calibri" w:eastAsia="Times New Roman" w:hAnsi="Calibri" w:cs="Calibri"/>
          <w:color w:val="16202C"/>
        </w:rPr>
      </w:pPr>
      <w:r w:rsidRPr="006E5C07">
        <w:rPr>
          <w:rFonts w:ascii="Gill Sans MT" w:eastAsia="Times New Roman" w:hAnsi="Gill Sans MT" w:cs="Calibri"/>
          <w:color w:val="000000"/>
          <w:sz w:val="18"/>
          <w:szCs w:val="18"/>
        </w:rPr>
        <w:t>The Group has made judgements in adopting IFRS 16 such as identifying contracts in scope for IFRS 16, determining the interest rate used for the discounting of future cashflows, and the determining lease terms where the lease has extension or termination options.</w:t>
      </w:r>
    </w:p>
    <w:p w14:paraId="1201CD7F" w14:textId="77777777" w:rsidR="006E5C07" w:rsidRPr="006E5C07" w:rsidRDefault="006E5C07" w:rsidP="006E5C07">
      <w:pPr>
        <w:spacing w:after="0" w:line="240" w:lineRule="auto"/>
        <w:rPr>
          <w:rFonts w:ascii="Calibri" w:eastAsia="Times New Roman" w:hAnsi="Calibri" w:cs="Calibri"/>
          <w:b/>
          <w:bCs/>
          <w:color w:val="16202C"/>
        </w:rPr>
      </w:pPr>
      <w:r w:rsidRPr="006E5C07">
        <w:rPr>
          <w:rFonts w:ascii="Gill Sans MT" w:eastAsia="Times New Roman" w:hAnsi="Gill Sans MT" w:cs="Calibri"/>
          <w:b/>
          <w:bCs/>
          <w:color w:val="16202C"/>
          <w:sz w:val="18"/>
          <w:szCs w:val="18"/>
        </w:rPr>
        <w:t>Property, plant &amp; equipment</w:t>
      </w:r>
    </w:p>
    <w:p w14:paraId="6A3542FF"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185823E1"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Depreciation is provided at the annual rates below in order to write off each asset over its estimated useful life.</w:t>
      </w:r>
    </w:p>
    <w:p w14:paraId="08653028" w14:textId="77777777" w:rsidR="006E5C07" w:rsidRPr="006E5C07" w:rsidRDefault="006E5C07" w:rsidP="006E5C07">
      <w:pPr>
        <w:spacing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3397"/>
        <w:gridCol w:w="325"/>
        <w:gridCol w:w="4743"/>
      </w:tblGrid>
      <w:tr w:rsidR="006E5C07" w:rsidRPr="006E5C07" w14:paraId="06E5D93D" w14:textId="77777777" w:rsidTr="006E5C07">
        <w:tc>
          <w:tcPr>
            <w:tcW w:w="3397" w:type="dxa"/>
            <w:tcMar>
              <w:top w:w="0" w:type="dxa"/>
              <w:left w:w="108" w:type="dxa"/>
              <w:bottom w:w="0" w:type="dxa"/>
              <w:right w:w="108" w:type="dxa"/>
            </w:tcMar>
            <w:hideMark/>
          </w:tcPr>
          <w:p w14:paraId="2CF51199"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Plant &amp; equipment</w:t>
            </w:r>
          </w:p>
        </w:tc>
        <w:tc>
          <w:tcPr>
            <w:tcW w:w="145" w:type="dxa"/>
            <w:tcMar>
              <w:top w:w="0" w:type="dxa"/>
              <w:left w:w="108" w:type="dxa"/>
              <w:bottom w:w="0" w:type="dxa"/>
              <w:right w:w="108" w:type="dxa"/>
            </w:tcMar>
            <w:hideMark/>
          </w:tcPr>
          <w:p w14:paraId="50B0F4B8"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tc>
        <w:tc>
          <w:tcPr>
            <w:tcW w:w="4743" w:type="dxa"/>
            <w:tcMar>
              <w:top w:w="0" w:type="dxa"/>
              <w:left w:w="108" w:type="dxa"/>
              <w:bottom w:w="0" w:type="dxa"/>
              <w:right w:w="108" w:type="dxa"/>
            </w:tcMar>
            <w:hideMark/>
          </w:tcPr>
          <w:p w14:paraId="2FA9246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12.5% of cost</w:t>
            </w:r>
          </w:p>
        </w:tc>
      </w:tr>
      <w:tr w:rsidR="006E5C07" w:rsidRPr="006E5C07" w14:paraId="4C21A769" w14:textId="77777777" w:rsidTr="006E5C07">
        <w:tc>
          <w:tcPr>
            <w:tcW w:w="3397" w:type="dxa"/>
            <w:tcMar>
              <w:top w:w="0" w:type="dxa"/>
              <w:left w:w="108" w:type="dxa"/>
              <w:bottom w:w="0" w:type="dxa"/>
              <w:right w:w="108" w:type="dxa"/>
            </w:tcMar>
            <w:hideMark/>
          </w:tcPr>
          <w:p w14:paraId="3ACBA285"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Fixtures &amp; fittings</w:t>
            </w:r>
          </w:p>
        </w:tc>
        <w:tc>
          <w:tcPr>
            <w:tcW w:w="145" w:type="dxa"/>
            <w:tcMar>
              <w:top w:w="0" w:type="dxa"/>
              <w:left w:w="108" w:type="dxa"/>
              <w:bottom w:w="0" w:type="dxa"/>
              <w:right w:w="108" w:type="dxa"/>
            </w:tcMar>
            <w:hideMark/>
          </w:tcPr>
          <w:p w14:paraId="3126AC59"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w:t>
            </w:r>
          </w:p>
        </w:tc>
        <w:tc>
          <w:tcPr>
            <w:tcW w:w="4743" w:type="dxa"/>
            <w:tcMar>
              <w:top w:w="0" w:type="dxa"/>
              <w:left w:w="108" w:type="dxa"/>
              <w:bottom w:w="0" w:type="dxa"/>
              <w:right w:w="108" w:type="dxa"/>
            </w:tcMar>
            <w:hideMark/>
          </w:tcPr>
          <w:p w14:paraId="33AE989E"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25% of cost</w:t>
            </w:r>
          </w:p>
        </w:tc>
      </w:tr>
      <w:tr w:rsidR="006E5C07" w:rsidRPr="006E5C07" w14:paraId="646F0E13" w14:textId="77777777" w:rsidTr="006E5C07">
        <w:tc>
          <w:tcPr>
            <w:tcW w:w="3397" w:type="dxa"/>
            <w:tcMar>
              <w:top w:w="0" w:type="dxa"/>
              <w:left w:w="108" w:type="dxa"/>
              <w:bottom w:w="0" w:type="dxa"/>
              <w:right w:w="108" w:type="dxa"/>
            </w:tcMar>
            <w:hideMark/>
          </w:tcPr>
          <w:p w14:paraId="422041F5"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Computer equipment</w:t>
            </w:r>
          </w:p>
          <w:p w14:paraId="6A8F3389"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Computer software</w:t>
            </w:r>
          </w:p>
        </w:tc>
        <w:tc>
          <w:tcPr>
            <w:tcW w:w="145" w:type="dxa"/>
            <w:tcMar>
              <w:top w:w="0" w:type="dxa"/>
              <w:left w:w="108" w:type="dxa"/>
              <w:bottom w:w="0" w:type="dxa"/>
              <w:right w:w="108" w:type="dxa"/>
            </w:tcMar>
            <w:hideMark/>
          </w:tcPr>
          <w:p w14:paraId="12B8FF51"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w:t>
            </w:r>
          </w:p>
          <w:p w14:paraId="5E277328"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w:t>
            </w:r>
          </w:p>
        </w:tc>
        <w:tc>
          <w:tcPr>
            <w:tcW w:w="4743" w:type="dxa"/>
            <w:tcMar>
              <w:top w:w="0" w:type="dxa"/>
              <w:left w:w="108" w:type="dxa"/>
              <w:bottom w:w="0" w:type="dxa"/>
              <w:right w:w="108" w:type="dxa"/>
            </w:tcMar>
            <w:hideMark/>
          </w:tcPr>
          <w:p w14:paraId="2A79B03B"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25% of cost</w:t>
            </w:r>
          </w:p>
          <w:p w14:paraId="196A9417"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33% of cost</w:t>
            </w:r>
          </w:p>
          <w:p w14:paraId="28BFE2DD"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tc>
      </w:tr>
    </w:tbl>
    <w:p w14:paraId="137BEE49"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Property, plant &amp; equipment is stated at cost less accumulated depreciation to date.</w:t>
      </w:r>
    </w:p>
    <w:p w14:paraId="147111E8"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50C8AB46"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Intangible assets</w:t>
      </w:r>
    </w:p>
    <w:p w14:paraId="3D5F8CE6"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15AD1FAF"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Website development costs</w:t>
      </w:r>
    </w:p>
    <w:p w14:paraId="2DA54508"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Group capitalises all costs directly attributable to further developing its websites, while costs which relate to on-going maintenance are expensed as they arise. The capitalised costs are depreciated over three years.</w:t>
      </w:r>
    </w:p>
    <w:p w14:paraId="3856102F"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58B7B177"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Patents and trademarks</w:t>
      </w:r>
    </w:p>
    <w:p w14:paraId="1A200CA2"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costs of obtaining patents and trademarks are capitalised and written off over the economic life of the asset acquired.</w:t>
      </w:r>
    </w:p>
    <w:p w14:paraId="5A9153A1"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14422AD9"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Impairment of non-current assets</w:t>
      </w:r>
    </w:p>
    <w:p w14:paraId="497274C3"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need for any non-current asset impairment is assessed by comparison of the carrying value of the asset against the higher of realisable value and the value in use or, in the case of intangible assets, the anticipated future cash flows arising from the asset.</w:t>
      </w:r>
    </w:p>
    <w:p w14:paraId="46F643F1" w14:textId="77777777" w:rsidR="006E5C07" w:rsidRPr="006E5C07" w:rsidRDefault="006E5C07" w:rsidP="006E5C07">
      <w:pPr>
        <w:spacing w:after="0" w:line="240" w:lineRule="auto"/>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70994BFD"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Taxation</w:t>
      </w:r>
    </w:p>
    <w:p w14:paraId="44052823"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14E1B10B"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tax credit or expense represents the sum of tax and deferred tax currently recoverable or payable. Tax currently recoverable or payable is based on the taxable loss or profit for the period. The Group's asset or liability for current tax is calculated using rates that have been enacted or substantially enacted at the balance sheet date.</w:t>
      </w:r>
    </w:p>
    <w:p w14:paraId="31519CCF"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22F97250"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Deferred tax is the tax expected to be payable or recoverable on differences between the carrying amounts of assets and liabilities in the financial statements and the corresponding tax bases used in computation of taxable profits and is accounted for using the liability method. Deferred tax liabilities are recognised for all temporary timing differences and deferred tax assets are recognised to the extent that it is probable that taxable profits will be available against which deductible temporary differences can be utilised. Such assets and liabilities are not recognised if the temporary difference arises from the initial recognition, other than in a business combination, of other assets and liabilities in a transaction that affects neither the taxable profit nor the accounting profit.</w:t>
      </w:r>
    </w:p>
    <w:p w14:paraId="56A33AFB"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The carrying amount of deferred tax assets is reviewed at each balance sheet date and reduced to the extent it is no longer probable that sufficient taxable profits will be available to allow all or part of the asset to be recovered.</w:t>
      </w:r>
    </w:p>
    <w:p w14:paraId="4F1A99CE"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Deferred tax is calculated at the tax rates that are expected to apply in the period when the liability is settled or the asset is realised based on tax laws and rates that have been enacted at the balance sheet date. Deferred tax is charged or credited in the income statement, except when it relates to items charged or credited in other comprehensive income, in which case the deferred tax is also dealt with in other comprehensive income.</w:t>
      </w:r>
    </w:p>
    <w:p w14:paraId="4A8B5FE2" w14:textId="77777777" w:rsidR="006E5C07" w:rsidRPr="006E5C07" w:rsidRDefault="006E5C07" w:rsidP="006E5C07">
      <w:pPr>
        <w:spacing w:after="0" w:line="240" w:lineRule="auto"/>
        <w:rPr>
          <w:rFonts w:ascii="Calibri" w:eastAsia="Times New Roman" w:hAnsi="Calibri" w:cs="Calibri"/>
          <w:b/>
          <w:bCs/>
          <w:color w:val="16202C"/>
        </w:rPr>
      </w:pPr>
      <w:r w:rsidRPr="006E5C07">
        <w:rPr>
          <w:rFonts w:ascii="Gill Sans MT" w:eastAsia="Times New Roman" w:hAnsi="Gill Sans MT" w:cs="Calibri"/>
          <w:b/>
          <w:bCs/>
          <w:color w:val="16202C"/>
          <w:sz w:val="18"/>
          <w:szCs w:val="18"/>
        </w:rPr>
        <w:t>Foreign exchange</w:t>
      </w:r>
    </w:p>
    <w:p w14:paraId="5FEA3817"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3776C623"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Items included in the Group's financial statements are measured using Pounds Sterling, which is the currency of the primary economic environment in which the Group operates and is also the Group's presentational currency.</w:t>
      </w:r>
    </w:p>
    <w:p w14:paraId="629C0940"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171BC29B"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lastRenderedPageBreak/>
        <w:t>Transactions denominated in foreign currencies are translated into Sterling at the rates ruling at the dates of the transactions. Monetary assets and liabilities denominated in foreign currencies at the balance sheet date are translated at the rates at that date. These translation differences are dealt with in the profit and loss account.</w:t>
      </w:r>
    </w:p>
    <w:p w14:paraId="1F056C6F"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2E1D93AD"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income and expenditure of overseas operations are translated at the average rates of exchange during the period. Monetary items on the balance sheet are translated into Sterling at the rate of exchange ruling on the balance sheet date and fixed assets at historical rates. Exchange difference arising are treated as a movement in reserves.</w:t>
      </w:r>
    </w:p>
    <w:p w14:paraId="3FB713E9"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6D83B718"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Financial instruments</w:t>
      </w:r>
    </w:p>
    <w:p w14:paraId="711411AC"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29F6DA5D"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Financial assets and liabilities are recognised in the Group's balance sheet when it becomes a party to the contractual provisions of the instrument.</w:t>
      </w:r>
    </w:p>
    <w:p w14:paraId="7E23E465"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41FDE2E3"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Trade and other receivables</w:t>
      </w:r>
    </w:p>
    <w:p w14:paraId="43F60365"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4FED06DE"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Trade and other receivables are carried at original invoice value less an allowance for any uncollectable amounts. An allowance for bad debts is made when there is objective evidence that the Group will not be able to collect the debts. Bad debts are written off in the income statement when identified.</w:t>
      </w:r>
    </w:p>
    <w:p w14:paraId="532D4FEF"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0C606323"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Cash and cash equivalents</w:t>
      </w:r>
    </w:p>
    <w:p w14:paraId="68C7EAFD"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588ECB5E"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Cash and cash equivalents are carried in the balance sheet at cost and comprise cash in hand, cash at bank and deposits with banks.</w:t>
      </w:r>
    </w:p>
    <w:p w14:paraId="791CBEB8"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5ECD966C"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Trade and other payables</w:t>
      </w:r>
    </w:p>
    <w:p w14:paraId="10109790"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6793191F"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Trade and other payables are carried at amortised costs and represent liabilities for goods or services provided to the Group prior to the period end that are unpaid and arise when the Group becomes obliged to make future payments in respect of these goods and services.</w:t>
      </w:r>
    </w:p>
    <w:p w14:paraId="1137A1BE"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1E44A395"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Equity instruments</w:t>
      </w:r>
    </w:p>
    <w:p w14:paraId="4A444F63"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39A67503"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Equity instruments issued by the Group are recorded at the proceeds received, net of direct issue costs.</w:t>
      </w:r>
    </w:p>
    <w:p w14:paraId="41E3CB15"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5AF2BA0C"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Share based payments</w:t>
      </w:r>
    </w:p>
    <w:p w14:paraId="2CD83AE6"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7E58498A"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Group operates a number of equity settled share-based payment schemes under which share options are issued to certain employees. The fair value determined at the grant date of the equity settled share-based payment, where material, is expensed on a straight-line basis over the vesting period. For schemes with only market-based performance conditions, those conditions are considered in arriving at the fair value at grant date.</w:t>
      </w:r>
    </w:p>
    <w:p w14:paraId="1C0A37FC"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4F1273F8"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Pensions</w:t>
      </w:r>
    </w:p>
    <w:p w14:paraId="11F7DE7E"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6D1F42BD"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Group pays contributions to the personal pension schemes of the majority of employees. Contributions are charged to the income statement in the period in which they fall due.</w:t>
      </w:r>
    </w:p>
    <w:p w14:paraId="63504AFD" w14:textId="77777777" w:rsidR="006E5C07" w:rsidRPr="006E5C07" w:rsidRDefault="006E5C07" w:rsidP="006E5C07">
      <w:pPr>
        <w:spacing w:after="0" w:line="240" w:lineRule="auto"/>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1A59AF58"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Critical accounting judgements and estimates</w:t>
      </w:r>
    </w:p>
    <w:p w14:paraId="7DA877DD"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430B62A1"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preparation of financial statements in conformity with IFRS requires the use of accounting estimates and assumptions that affect the reported amounts of assets and liabilities at the date of the financial statements and the reported amounts of income and expenditure during the period. Although these estimates are based on management's best knowledge of current events and actions, actual results may differ from those estimates. IFRS also requires management to exercise its judgement in the process of applying the Group's accounting policies.</w:t>
      </w:r>
    </w:p>
    <w:p w14:paraId="26D39262"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1DA36F8D"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areas where significant judgements and estimates have been made in the preparation of these financial statements are the useful lives and impairment of non-current and intangible assets, impairment of the value of investment in associates and taxation. Explanations of the methodology and the resultant assumptions are detailed in the relevant accounting policies above and the respective notes to the financial statements.</w:t>
      </w:r>
    </w:p>
    <w:p w14:paraId="21FB45AC"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3FAC9BF8"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Borrowing costs</w:t>
      </w:r>
    </w:p>
    <w:p w14:paraId="5BE853AE"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7ADF2B33"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Borrowing costs are amortised over the duration of the loan and recognised throughout the term of the loan.</w:t>
      </w:r>
    </w:p>
    <w:p w14:paraId="5E89406E"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lastRenderedPageBreak/>
        <w:t> </w:t>
      </w:r>
    </w:p>
    <w:p w14:paraId="5279B45F" w14:textId="77777777" w:rsidR="006E5C07" w:rsidRPr="006E5C07" w:rsidRDefault="006E5C07" w:rsidP="006E5C07">
      <w:pPr>
        <w:spacing w:after="0" w:line="240" w:lineRule="auto"/>
        <w:ind w:hanging="600"/>
        <w:jc w:val="both"/>
        <w:rPr>
          <w:rFonts w:ascii="Calibri" w:eastAsia="Times New Roman" w:hAnsi="Calibri" w:cs="Calibri"/>
          <w:color w:val="16202C"/>
        </w:rPr>
      </w:pPr>
      <w:r w:rsidRPr="006E5C07">
        <w:rPr>
          <w:rFonts w:ascii="Gill Sans MT" w:eastAsia="Times New Roman" w:hAnsi="Gill Sans MT" w:cs="Calibri"/>
          <w:b/>
          <w:bCs/>
          <w:color w:val="16202C"/>
          <w:sz w:val="18"/>
          <w:szCs w:val="18"/>
        </w:rPr>
        <w:t>4.          Segmental reporting</w:t>
      </w:r>
    </w:p>
    <w:p w14:paraId="22097662"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600F4738"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Group maintains its head office in Glasgow and a subsidiary office in Hamburg, Germany. These are reported separately. In addition, the retail business, now trading as POP Retail, has a subsidiary in Germany. The Group has determined that these are the principal operating segments as the performance of these segments is monitored separately and reviewed by the Board.</w:t>
      </w:r>
    </w:p>
    <w:p w14:paraId="452C2355"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4954549C" w14:textId="77777777" w:rsidR="006E5C07" w:rsidRPr="006E5C07" w:rsidRDefault="006E5C07" w:rsidP="006E5C07">
      <w:pPr>
        <w:spacing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The following tables present revenues, results and asset and liability information regarding the Group's two core business segments - Promotional Sales and Retail, split by geographic area, after licence fees and management charges made between Group companies. The Other segment incorporates SpaceandPeople India.</w:t>
      </w:r>
    </w:p>
    <w:tbl>
      <w:tblPr>
        <w:tblW w:w="0" w:type="auto"/>
        <w:tblInd w:w="-108" w:type="dxa"/>
        <w:tblCellMar>
          <w:left w:w="0" w:type="dxa"/>
          <w:right w:w="0" w:type="dxa"/>
        </w:tblCellMar>
        <w:tblLook w:val="04A0" w:firstRow="1" w:lastRow="0" w:firstColumn="1" w:lastColumn="0" w:noHBand="0" w:noVBand="1"/>
      </w:tblPr>
      <w:tblGrid>
        <w:gridCol w:w="2105"/>
        <w:gridCol w:w="1006"/>
        <w:gridCol w:w="1006"/>
        <w:gridCol w:w="736"/>
        <w:gridCol w:w="892"/>
        <w:gridCol w:w="801"/>
        <w:gridCol w:w="672"/>
        <w:gridCol w:w="801"/>
      </w:tblGrid>
      <w:tr w:rsidR="006E5C07" w:rsidRPr="006E5C07" w14:paraId="4185ABCD" w14:textId="77777777" w:rsidTr="006E5C07">
        <w:tc>
          <w:tcPr>
            <w:tcW w:w="2105" w:type="dxa"/>
            <w:tcMar>
              <w:top w:w="0" w:type="dxa"/>
              <w:left w:w="108" w:type="dxa"/>
              <w:bottom w:w="0" w:type="dxa"/>
              <w:right w:w="108" w:type="dxa"/>
            </w:tcMar>
            <w:hideMark/>
          </w:tcPr>
          <w:p w14:paraId="433ED19E"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p w14:paraId="5BFC7848" w14:textId="77777777" w:rsidR="006E5C07" w:rsidRPr="006E5C07" w:rsidRDefault="006E5C07" w:rsidP="006E5C07">
            <w:pPr>
              <w:spacing w:after="0" w:line="240" w:lineRule="auto"/>
              <w:rPr>
                <w:rFonts w:ascii="Calibri" w:eastAsia="Times New Roman" w:hAnsi="Calibri" w:cs="Calibri"/>
                <w:u w:val="single"/>
              </w:rPr>
            </w:pPr>
            <w:r w:rsidRPr="006E5C07">
              <w:rPr>
                <w:rFonts w:ascii="Gill Sans MT" w:eastAsia="Times New Roman" w:hAnsi="Gill Sans MT" w:cs="Calibri"/>
                <w:sz w:val="18"/>
                <w:szCs w:val="18"/>
                <w:u w:val="single"/>
              </w:rPr>
              <w:t>Segment revenues and</w:t>
            </w:r>
          </w:p>
        </w:tc>
        <w:tc>
          <w:tcPr>
            <w:tcW w:w="837" w:type="dxa"/>
            <w:tcMar>
              <w:top w:w="0" w:type="dxa"/>
              <w:left w:w="108" w:type="dxa"/>
              <w:bottom w:w="0" w:type="dxa"/>
              <w:right w:w="108" w:type="dxa"/>
            </w:tcMar>
            <w:hideMark/>
          </w:tcPr>
          <w:p w14:paraId="7F9F52D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1E3A2FD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Promotion</w:t>
            </w:r>
          </w:p>
        </w:tc>
        <w:tc>
          <w:tcPr>
            <w:tcW w:w="837" w:type="dxa"/>
            <w:tcMar>
              <w:top w:w="0" w:type="dxa"/>
              <w:left w:w="108" w:type="dxa"/>
              <w:bottom w:w="0" w:type="dxa"/>
              <w:right w:w="108" w:type="dxa"/>
            </w:tcMar>
            <w:hideMark/>
          </w:tcPr>
          <w:p w14:paraId="394B13D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10440D4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Promotion</w:t>
            </w:r>
          </w:p>
        </w:tc>
        <w:tc>
          <w:tcPr>
            <w:tcW w:w="736" w:type="dxa"/>
            <w:tcMar>
              <w:top w:w="0" w:type="dxa"/>
              <w:left w:w="108" w:type="dxa"/>
              <w:bottom w:w="0" w:type="dxa"/>
              <w:right w:w="108" w:type="dxa"/>
            </w:tcMar>
            <w:hideMark/>
          </w:tcPr>
          <w:p w14:paraId="1DBEE45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3F49CAB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Retail</w:t>
            </w:r>
          </w:p>
        </w:tc>
        <w:tc>
          <w:tcPr>
            <w:tcW w:w="746" w:type="dxa"/>
            <w:tcMar>
              <w:top w:w="0" w:type="dxa"/>
              <w:left w:w="108" w:type="dxa"/>
              <w:bottom w:w="0" w:type="dxa"/>
              <w:right w:w="108" w:type="dxa"/>
            </w:tcMar>
            <w:hideMark/>
          </w:tcPr>
          <w:p w14:paraId="0CF3DAA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021712C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Retail</w:t>
            </w:r>
          </w:p>
        </w:tc>
        <w:tc>
          <w:tcPr>
            <w:tcW w:w="668" w:type="dxa"/>
            <w:tcMar>
              <w:top w:w="0" w:type="dxa"/>
              <w:left w:w="108" w:type="dxa"/>
              <w:bottom w:w="0" w:type="dxa"/>
              <w:right w:w="108" w:type="dxa"/>
            </w:tcMar>
            <w:hideMark/>
          </w:tcPr>
          <w:p w14:paraId="4A38304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68A1521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Head</w:t>
            </w:r>
          </w:p>
        </w:tc>
        <w:tc>
          <w:tcPr>
            <w:tcW w:w="627" w:type="dxa"/>
            <w:tcMar>
              <w:top w:w="0" w:type="dxa"/>
              <w:left w:w="108" w:type="dxa"/>
              <w:bottom w:w="0" w:type="dxa"/>
              <w:right w:w="108" w:type="dxa"/>
            </w:tcMar>
            <w:hideMark/>
          </w:tcPr>
          <w:p w14:paraId="0FD7FB1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6BC8E2B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Other</w:t>
            </w:r>
          </w:p>
        </w:tc>
        <w:tc>
          <w:tcPr>
            <w:tcW w:w="742" w:type="dxa"/>
            <w:tcMar>
              <w:top w:w="0" w:type="dxa"/>
              <w:left w:w="108" w:type="dxa"/>
              <w:bottom w:w="0" w:type="dxa"/>
              <w:right w:w="108" w:type="dxa"/>
            </w:tcMar>
            <w:hideMark/>
          </w:tcPr>
          <w:p w14:paraId="14AF8C1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2D9ED60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Group</w:t>
            </w:r>
          </w:p>
        </w:tc>
      </w:tr>
      <w:tr w:rsidR="006E5C07" w:rsidRPr="006E5C07" w14:paraId="0FAFDB99" w14:textId="77777777" w:rsidTr="006E5C07">
        <w:tc>
          <w:tcPr>
            <w:tcW w:w="2105" w:type="dxa"/>
            <w:tcMar>
              <w:top w:w="0" w:type="dxa"/>
              <w:left w:w="108" w:type="dxa"/>
              <w:bottom w:w="0" w:type="dxa"/>
              <w:right w:w="108" w:type="dxa"/>
            </w:tcMar>
            <w:hideMark/>
          </w:tcPr>
          <w:p w14:paraId="401CA878" w14:textId="77777777" w:rsidR="006E5C07" w:rsidRPr="006E5C07" w:rsidRDefault="006E5C07" w:rsidP="006E5C07">
            <w:pPr>
              <w:spacing w:after="0" w:line="240" w:lineRule="auto"/>
              <w:rPr>
                <w:rFonts w:ascii="Calibri" w:eastAsia="Times New Roman" w:hAnsi="Calibri" w:cs="Calibri"/>
                <w:u w:val="single"/>
              </w:rPr>
            </w:pPr>
            <w:r w:rsidRPr="006E5C07">
              <w:rPr>
                <w:rFonts w:ascii="Gill Sans MT" w:eastAsia="Times New Roman" w:hAnsi="Gill Sans MT" w:cs="Calibri"/>
                <w:sz w:val="18"/>
                <w:szCs w:val="18"/>
                <w:u w:val="single"/>
              </w:rPr>
              <w:t>Results</w:t>
            </w:r>
          </w:p>
        </w:tc>
        <w:tc>
          <w:tcPr>
            <w:tcW w:w="837" w:type="dxa"/>
            <w:tcMar>
              <w:top w:w="0" w:type="dxa"/>
              <w:left w:w="108" w:type="dxa"/>
              <w:bottom w:w="0" w:type="dxa"/>
              <w:right w:w="108" w:type="dxa"/>
            </w:tcMar>
            <w:hideMark/>
          </w:tcPr>
          <w:p w14:paraId="2677EAF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UK</w:t>
            </w:r>
          </w:p>
        </w:tc>
        <w:tc>
          <w:tcPr>
            <w:tcW w:w="837" w:type="dxa"/>
            <w:tcMar>
              <w:top w:w="0" w:type="dxa"/>
              <w:left w:w="108" w:type="dxa"/>
              <w:bottom w:w="0" w:type="dxa"/>
              <w:right w:w="108" w:type="dxa"/>
            </w:tcMar>
            <w:hideMark/>
          </w:tcPr>
          <w:p w14:paraId="617F059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Germany</w:t>
            </w:r>
          </w:p>
        </w:tc>
        <w:tc>
          <w:tcPr>
            <w:tcW w:w="736" w:type="dxa"/>
            <w:tcMar>
              <w:top w:w="0" w:type="dxa"/>
              <w:left w:w="108" w:type="dxa"/>
              <w:bottom w:w="0" w:type="dxa"/>
              <w:right w:w="108" w:type="dxa"/>
            </w:tcMar>
            <w:hideMark/>
          </w:tcPr>
          <w:p w14:paraId="61063A3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UK</w:t>
            </w:r>
          </w:p>
        </w:tc>
        <w:tc>
          <w:tcPr>
            <w:tcW w:w="746" w:type="dxa"/>
            <w:tcMar>
              <w:top w:w="0" w:type="dxa"/>
              <w:left w:w="108" w:type="dxa"/>
              <w:bottom w:w="0" w:type="dxa"/>
              <w:right w:w="108" w:type="dxa"/>
            </w:tcMar>
            <w:hideMark/>
          </w:tcPr>
          <w:p w14:paraId="46F4FB7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Germany</w:t>
            </w:r>
          </w:p>
        </w:tc>
        <w:tc>
          <w:tcPr>
            <w:tcW w:w="668" w:type="dxa"/>
            <w:tcMar>
              <w:top w:w="0" w:type="dxa"/>
              <w:left w:w="108" w:type="dxa"/>
              <w:bottom w:w="0" w:type="dxa"/>
              <w:right w:w="108" w:type="dxa"/>
            </w:tcMar>
            <w:hideMark/>
          </w:tcPr>
          <w:p w14:paraId="3F60051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Office</w:t>
            </w:r>
          </w:p>
        </w:tc>
        <w:tc>
          <w:tcPr>
            <w:tcW w:w="627" w:type="dxa"/>
            <w:tcMar>
              <w:top w:w="0" w:type="dxa"/>
              <w:left w:w="108" w:type="dxa"/>
              <w:bottom w:w="0" w:type="dxa"/>
              <w:right w:w="108" w:type="dxa"/>
            </w:tcMar>
            <w:hideMark/>
          </w:tcPr>
          <w:p w14:paraId="61B0C6D5" w14:textId="77777777" w:rsidR="006E5C07" w:rsidRPr="006E5C07" w:rsidRDefault="006E5C07" w:rsidP="006E5C07">
            <w:pPr>
              <w:spacing w:after="0" w:line="240" w:lineRule="auto"/>
              <w:jc w:val="right"/>
              <w:rPr>
                <w:rFonts w:ascii="Calibri" w:eastAsia="Times New Roman" w:hAnsi="Calibri" w:cs="Calibri"/>
              </w:rPr>
            </w:pPr>
          </w:p>
        </w:tc>
        <w:tc>
          <w:tcPr>
            <w:tcW w:w="742" w:type="dxa"/>
            <w:tcMar>
              <w:top w:w="0" w:type="dxa"/>
              <w:left w:w="108" w:type="dxa"/>
              <w:bottom w:w="0" w:type="dxa"/>
              <w:right w:w="108" w:type="dxa"/>
            </w:tcMar>
            <w:hideMark/>
          </w:tcPr>
          <w:p w14:paraId="55C8B40B"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35289F3E" w14:textId="77777777" w:rsidTr="006E5C07">
        <w:tc>
          <w:tcPr>
            <w:tcW w:w="2105" w:type="dxa"/>
            <w:tcMar>
              <w:top w:w="0" w:type="dxa"/>
              <w:left w:w="108" w:type="dxa"/>
              <w:bottom w:w="0" w:type="dxa"/>
              <w:right w:w="108" w:type="dxa"/>
            </w:tcMar>
            <w:hideMark/>
          </w:tcPr>
          <w:p w14:paraId="688828A3" w14:textId="77777777" w:rsidR="006E5C07" w:rsidRPr="006E5C07" w:rsidRDefault="006E5C07" w:rsidP="006E5C07">
            <w:pPr>
              <w:spacing w:after="0" w:line="240" w:lineRule="auto"/>
              <w:rPr>
                <w:rFonts w:ascii="Calibri" w:eastAsia="Times New Roman" w:hAnsi="Calibri" w:cs="Calibri"/>
                <w:u w:val="single"/>
              </w:rPr>
            </w:pPr>
            <w:r w:rsidRPr="006E5C07">
              <w:rPr>
                <w:rFonts w:ascii="Gill Sans MT" w:eastAsia="Times New Roman" w:hAnsi="Gill Sans MT" w:cs="Calibri"/>
                <w:sz w:val="18"/>
                <w:szCs w:val="18"/>
                <w:u w:val="single"/>
              </w:rPr>
              <w:t>for 12 months to</w:t>
            </w:r>
          </w:p>
        </w:tc>
        <w:tc>
          <w:tcPr>
            <w:tcW w:w="837" w:type="dxa"/>
            <w:tcMar>
              <w:top w:w="0" w:type="dxa"/>
              <w:left w:w="108" w:type="dxa"/>
              <w:bottom w:w="0" w:type="dxa"/>
              <w:right w:w="108" w:type="dxa"/>
            </w:tcMar>
            <w:hideMark/>
          </w:tcPr>
          <w:p w14:paraId="4A8BEDE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837" w:type="dxa"/>
            <w:tcMar>
              <w:top w:w="0" w:type="dxa"/>
              <w:left w:w="108" w:type="dxa"/>
              <w:bottom w:w="0" w:type="dxa"/>
              <w:right w:w="108" w:type="dxa"/>
            </w:tcMar>
            <w:hideMark/>
          </w:tcPr>
          <w:p w14:paraId="7533687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736" w:type="dxa"/>
            <w:tcMar>
              <w:top w:w="0" w:type="dxa"/>
              <w:left w:w="108" w:type="dxa"/>
              <w:bottom w:w="0" w:type="dxa"/>
              <w:right w:w="108" w:type="dxa"/>
            </w:tcMar>
            <w:hideMark/>
          </w:tcPr>
          <w:p w14:paraId="503BDFD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746" w:type="dxa"/>
            <w:tcMar>
              <w:top w:w="0" w:type="dxa"/>
              <w:left w:w="108" w:type="dxa"/>
              <w:bottom w:w="0" w:type="dxa"/>
              <w:right w:w="108" w:type="dxa"/>
            </w:tcMar>
            <w:hideMark/>
          </w:tcPr>
          <w:p w14:paraId="24064A7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668" w:type="dxa"/>
            <w:tcMar>
              <w:top w:w="0" w:type="dxa"/>
              <w:left w:w="108" w:type="dxa"/>
              <w:bottom w:w="0" w:type="dxa"/>
              <w:right w:w="108" w:type="dxa"/>
            </w:tcMar>
            <w:hideMark/>
          </w:tcPr>
          <w:p w14:paraId="2064770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627" w:type="dxa"/>
            <w:tcMar>
              <w:top w:w="0" w:type="dxa"/>
              <w:left w:w="108" w:type="dxa"/>
              <w:bottom w:w="0" w:type="dxa"/>
              <w:right w:w="108" w:type="dxa"/>
            </w:tcMar>
            <w:hideMark/>
          </w:tcPr>
          <w:p w14:paraId="4937044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742" w:type="dxa"/>
            <w:tcMar>
              <w:top w:w="0" w:type="dxa"/>
              <w:left w:w="108" w:type="dxa"/>
              <w:bottom w:w="0" w:type="dxa"/>
              <w:right w:w="108" w:type="dxa"/>
            </w:tcMar>
            <w:hideMark/>
          </w:tcPr>
          <w:p w14:paraId="5EAD307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713862A1" w14:textId="77777777" w:rsidTr="006E5C07">
        <w:tc>
          <w:tcPr>
            <w:tcW w:w="2105" w:type="dxa"/>
            <w:tcMar>
              <w:top w:w="0" w:type="dxa"/>
              <w:left w:w="108" w:type="dxa"/>
              <w:bottom w:w="0" w:type="dxa"/>
              <w:right w:w="108" w:type="dxa"/>
            </w:tcMar>
            <w:hideMark/>
          </w:tcPr>
          <w:p w14:paraId="7271E3D7" w14:textId="77777777" w:rsidR="006E5C07" w:rsidRPr="006E5C07" w:rsidRDefault="006E5C07" w:rsidP="006E5C07">
            <w:pPr>
              <w:spacing w:after="0" w:line="240" w:lineRule="auto"/>
              <w:rPr>
                <w:rFonts w:ascii="Calibri" w:eastAsia="Times New Roman" w:hAnsi="Calibri" w:cs="Calibri"/>
                <w:u w:val="single"/>
              </w:rPr>
            </w:pPr>
            <w:r w:rsidRPr="006E5C07">
              <w:rPr>
                <w:rFonts w:ascii="Gill Sans MT" w:eastAsia="Times New Roman" w:hAnsi="Gill Sans MT" w:cs="Calibri"/>
                <w:sz w:val="18"/>
                <w:szCs w:val="18"/>
                <w:u w:val="single"/>
              </w:rPr>
              <w:t>31 December '20</w:t>
            </w:r>
          </w:p>
        </w:tc>
        <w:tc>
          <w:tcPr>
            <w:tcW w:w="837" w:type="dxa"/>
            <w:tcMar>
              <w:top w:w="0" w:type="dxa"/>
              <w:left w:w="108" w:type="dxa"/>
              <w:bottom w:w="0" w:type="dxa"/>
              <w:right w:w="108" w:type="dxa"/>
            </w:tcMar>
            <w:hideMark/>
          </w:tcPr>
          <w:p w14:paraId="163E928A" w14:textId="77777777" w:rsidR="006E5C07" w:rsidRPr="006E5C07" w:rsidRDefault="006E5C07" w:rsidP="006E5C07">
            <w:pPr>
              <w:spacing w:after="0" w:line="240" w:lineRule="auto"/>
              <w:jc w:val="right"/>
              <w:rPr>
                <w:rFonts w:ascii="Calibri" w:eastAsia="Times New Roman" w:hAnsi="Calibri" w:cs="Calibri"/>
              </w:rPr>
            </w:pPr>
          </w:p>
        </w:tc>
        <w:tc>
          <w:tcPr>
            <w:tcW w:w="837" w:type="dxa"/>
            <w:tcMar>
              <w:top w:w="0" w:type="dxa"/>
              <w:left w:w="108" w:type="dxa"/>
              <w:bottom w:w="0" w:type="dxa"/>
              <w:right w:w="108" w:type="dxa"/>
            </w:tcMar>
            <w:hideMark/>
          </w:tcPr>
          <w:p w14:paraId="79886D1B" w14:textId="77777777" w:rsidR="006E5C07" w:rsidRPr="006E5C07" w:rsidRDefault="006E5C07" w:rsidP="006E5C07">
            <w:pPr>
              <w:spacing w:after="0" w:line="240" w:lineRule="auto"/>
              <w:jc w:val="right"/>
              <w:rPr>
                <w:rFonts w:ascii="Calibri" w:eastAsia="Times New Roman" w:hAnsi="Calibri" w:cs="Calibri"/>
              </w:rPr>
            </w:pPr>
          </w:p>
        </w:tc>
        <w:tc>
          <w:tcPr>
            <w:tcW w:w="736" w:type="dxa"/>
            <w:tcMar>
              <w:top w:w="0" w:type="dxa"/>
              <w:left w:w="108" w:type="dxa"/>
              <w:bottom w:w="0" w:type="dxa"/>
              <w:right w:w="108" w:type="dxa"/>
            </w:tcMar>
            <w:hideMark/>
          </w:tcPr>
          <w:p w14:paraId="01CE8EC3" w14:textId="77777777" w:rsidR="006E5C07" w:rsidRPr="006E5C07" w:rsidRDefault="006E5C07" w:rsidP="006E5C07">
            <w:pPr>
              <w:spacing w:after="0" w:line="240" w:lineRule="auto"/>
              <w:jc w:val="right"/>
              <w:rPr>
                <w:rFonts w:ascii="Calibri" w:eastAsia="Times New Roman" w:hAnsi="Calibri" w:cs="Calibri"/>
              </w:rPr>
            </w:pPr>
          </w:p>
        </w:tc>
        <w:tc>
          <w:tcPr>
            <w:tcW w:w="746" w:type="dxa"/>
            <w:tcMar>
              <w:top w:w="0" w:type="dxa"/>
              <w:left w:w="108" w:type="dxa"/>
              <w:bottom w:w="0" w:type="dxa"/>
              <w:right w:w="108" w:type="dxa"/>
            </w:tcMar>
            <w:hideMark/>
          </w:tcPr>
          <w:p w14:paraId="6C477C52" w14:textId="77777777" w:rsidR="006E5C07" w:rsidRPr="006E5C07" w:rsidRDefault="006E5C07" w:rsidP="006E5C07">
            <w:pPr>
              <w:spacing w:after="0" w:line="240" w:lineRule="auto"/>
              <w:jc w:val="right"/>
              <w:rPr>
                <w:rFonts w:ascii="Calibri" w:eastAsia="Times New Roman" w:hAnsi="Calibri" w:cs="Calibri"/>
              </w:rPr>
            </w:pPr>
          </w:p>
        </w:tc>
        <w:tc>
          <w:tcPr>
            <w:tcW w:w="668" w:type="dxa"/>
            <w:tcMar>
              <w:top w:w="0" w:type="dxa"/>
              <w:left w:w="108" w:type="dxa"/>
              <w:bottom w:w="0" w:type="dxa"/>
              <w:right w:w="108" w:type="dxa"/>
            </w:tcMar>
            <w:hideMark/>
          </w:tcPr>
          <w:p w14:paraId="0D793973" w14:textId="77777777" w:rsidR="006E5C07" w:rsidRPr="006E5C07" w:rsidRDefault="006E5C07" w:rsidP="006E5C07">
            <w:pPr>
              <w:spacing w:after="0" w:line="240" w:lineRule="auto"/>
              <w:jc w:val="right"/>
              <w:rPr>
                <w:rFonts w:ascii="Calibri" w:eastAsia="Times New Roman" w:hAnsi="Calibri" w:cs="Calibri"/>
              </w:rPr>
            </w:pPr>
          </w:p>
        </w:tc>
        <w:tc>
          <w:tcPr>
            <w:tcW w:w="627" w:type="dxa"/>
            <w:tcMar>
              <w:top w:w="0" w:type="dxa"/>
              <w:left w:w="108" w:type="dxa"/>
              <w:bottom w:w="0" w:type="dxa"/>
              <w:right w:w="108" w:type="dxa"/>
            </w:tcMar>
            <w:hideMark/>
          </w:tcPr>
          <w:p w14:paraId="7E9DAB4B" w14:textId="77777777" w:rsidR="006E5C07" w:rsidRPr="006E5C07" w:rsidRDefault="006E5C07" w:rsidP="006E5C07">
            <w:pPr>
              <w:spacing w:after="0" w:line="240" w:lineRule="auto"/>
              <w:jc w:val="right"/>
              <w:rPr>
                <w:rFonts w:ascii="Calibri" w:eastAsia="Times New Roman" w:hAnsi="Calibri" w:cs="Calibri"/>
              </w:rPr>
            </w:pPr>
          </w:p>
        </w:tc>
        <w:tc>
          <w:tcPr>
            <w:tcW w:w="742" w:type="dxa"/>
            <w:tcMar>
              <w:top w:w="0" w:type="dxa"/>
              <w:left w:w="108" w:type="dxa"/>
              <w:bottom w:w="0" w:type="dxa"/>
              <w:right w:w="108" w:type="dxa"/>
            </w:tcMar>
            <w:hideMark/>
          </w:tcPr>
          <w:p w14:paraId="01C15722"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16E305A6" w14:textId="77777777" w:rsidTr="006E5C07">
        <w:tc>
          <w:tcPr>
            <w:tcW w:w="2105" w:type="dxa"/>
            <w:tcMar>
              <w:top w:w="0" w:type="dxa"/>
              <w:left w:w="108" w:type="dxa"/>
              <w:bottom w:w="0" w:type="dxa"/>
              <w:right w:w="108" w:type="dxa"/>
            </w:tcMar>
            <w:hideMark/>
          </w:tcPr>
          <w:p w14:paraId="1B2CABEF" w14:textId="77777777" w:rsidR="006E5C07" w:rsidRPr="006E5C07" w:rsidRDefault="006E5C07" w:rsidP="006E5C07">
            <w:pPr>
              <w:spacing w:after="0" w:line="240" w:lineRule="auto"/>
              <w:rPr>
                <w:rFonts w:ascii="Calibri" w:eastAsia="Times New Roman" w:hAnsi="Calibri" w:cs="Calibri"/>
                <w:b/>
                <w:bCs/>
              </w:rPr>
            </w:pPr>
          </w:p>
        </w:tc>
        <w:tc>
          <w:tcPr>
            <w:tcW w:w="837" w:type="dxa"/>
            <w:tcMar>
              <w:top w:w="0" w:type="dxa"/>
              <w:left w:w="108" w:type="dxa"/>
              <w:bottom w:w="0" w:type="dxa"/>
              <w:right w:w="108" w:type="dxa"/>
            </w:tcMar>
            <w:hideMark/>
          </w:tcPr>
          <w:p w14:paraId="1BCCBA88" w14:textId="77777777" w:rsidR="006E5C07" w:rsidRPr="006E5C07" w:rsidRDefault="006E5C07" w:rsidP="006E5C07">
            <w:pPr>
              <w:spacing w:after="0" w:line="240" w:lineRule="auto"/>
              <w:jc w:val="right"/>
              <w:rPr>
                <w:rFonts w:ascii="Calibri" w:eastAsia="Times New Roman" w:hAnsi="Calibri" w:cs="Calibri"/>
                <w:b/>
                <w:bCs/>
              </w:rPr>
            </w:pPr>
          </w:p>
        </w:tc>
        <w:tc>
          <w:tcPr>
            <w:tcW w:w="837" w:type="dxa"/>
            <w:tcMar>
              <w:top w:w="0" w:type="dxa"/>
              <w:left w:w="108" w:type="dxa"/>
              <w:bottom w:w="0" w:type="dxa"/>
              <w:right w:w="108" w:type="dxa"/>
            </w:tcMar>
            <w:hideMark/>
          </w:tcPr>
          <w:p w14:paraId="181CAA8E" w14:textId="77777777" w:rsidR="006E5C07" w:rsidRPr="006E5C07" w:rsidRDefault="006E5C07" w:rsidP="006E5C07">
            <w:pPr>
              <w:spacing w:after="0" w:line="240" w:lineRule="auto"/>
              <w:jc w:val="right"/>
              <w:rPr>
                <w:rFonts w:ascii="Calibri" w:eastAsia="Times New Roman" w:hAnsi="Calibri" w:cs="Calibri"/>
                <w:b/>
                <w:bCs/>
              </w:rPr>
            </w:pPr>
          </w:p>
        </w:tc>
        <w:tc>
          <w:tcPr>
            <w:tcW w:w="736" w:type="dxa"/>
            <w:tcMar>
              <w:top w:w="0" w:type="dxa"/>
              <w:left w:w="108" w:type="dxa"/>
              <w:bottom w:w="0" w:type="dxa"/>
              <w:right w:w="108" w:type="dxa"/>
            </w:tcMar>
            <w:hideMark/>
          </w:tcPr>
          <w:p w14:paraId="1EC7D770" w14:textId="77777777" w:rsidR="006E5C07" w:rsidRPr="006E5C07" w:rsidRDefault="006E5C07" w:rsidP="006E5C07">
            <w:pPr>
              <w:spacing w:after="0" w:line="240" w:lineRule="auto"/>
              <w:jc w:val="right"/>
              <w:rPr>
                <w:rFonts w:ascii="Calibri" w:eastAsia="Times New Roman" w:hAnsi="Calibri" w:cs="Calibri"/>
                <w:b/>
                <w:bCs/>
              </w:rPr>
            </w:pPr>
          </w:p>
        </w:tc>
        <w:tc>
          <w:tcPr>
            <w:tcW w:w="746" w:type="dxa"/>
            <w:tcMar>
              <w:top w:w="0" w:type="dxa"/>
              <w:left w:w="108" w:type="dxa"/>
              <w:bottom w:w="0" w:type="dxa"/>
              <w:right w:w="108" w:type="dxa"/>
            </w:tcMar>
            <w:hideMark/>
          </w:tcPr>
          <w:p w14:paraId="73A0B2F5" w14:textId="77777777" w:rsidR="006E5C07" w:rsidRPr="006E5C07" w:rsidRDefault="006E5C07" w:rsidP="006E5C07">
            <w:pPr>
              <w:spacing w:after="0" w:line="240" w:lineRule="auto"/>
              <w:jc w:val="right"/>
              <w:rPr>
                <w:rFonts w:ascii="Calibri" w:eastAsia="Times New Roman" w:hAnsi="Calibri" w:cs="Calibri"/>
                <w:b/>
                <w:bCs/>
              </w:rPr>
            </w:pPr>
          </w:p>
        </w:tc>
        <w:tc>
          <w:tcPr>
            <w:tcW w:w="668" w:type="dxa"/>
            <w:tcMar>
              <w:top w:w="0" w:type="dxa"/>
              <w:left w:w="108" w:type="dxa"/>
              <w:bottom w:w="0" w:type="dxa"/>
              <w:right w:w="108" w:type="dxa"/>
            </w:tcMar>
            <w:hideMark/>
          </w:tcPr>
          <w:p w14:paraId="76FE67F2" w14:textId="77777777" w:rsidR="006E5C07" w:rsidRPr="006E5C07" w:rsidRDefault="006E5C07" w:rsidP="006E5C07">
            <w:pPr>
              <w:spacing w:after="0" w:line="240" w:lineRule="auto"/>
              <w:jc w:val="right"/>
              <w:rPr>
                <w:rFonts w:ascii="Calibri" w:eastAsia="Times New Roman" w:hAnsi="Calibri" w:cs="Calibri"/>
                <w:b/>
                <w:bCs/>
              </w:rPr>
            </w:pPr>
          </w:p>
        </w:tc>
        <w:tc>
          <w:tcPr>
            <w:tcW w:w="627" w:type="dxa"/>
            <w:tcMar>
              <w:top w:w="0" w:type="dxa"/>
              <w:left w:w="108" w:type="dxa"/>
              <w:bottom w:w="0" w:type="dxa"/>
              <w:right w:w="108" w:type="dxa"/>
            </w:tcMar>
            <w:hideMark/>
          </w:tcPr>
          <w:p w14:paraId="18E6B45D" w14:textId="77777777" w:rsidR="006E5C07" w:rsidRPr="006E5C07" w:rsidRDefault="006E5C07" w:rsidP="006E5C07">
            <w:pPr>
              <w:spacing w:after="0" w:line="240" w:lineRule="auto"/>
              <w:jc w:val="right"/>
              <w:rPr>
                <w:rFonts w:ascii="Calibri" w:eastAsia="Times New Roman" w:hAnsi="Calibri" w:cs="Calibri"/>
                <w:b/>
                <w:bCs/>
              </w:rPr>
            </w:pPr>
          </w:p>
        </w:tc>
        <w:tc>
          <w:tcPr>
            <w:tcW w:w="742" w:type="dxa"/>
            <w:tcMar>
              <w:top w:w="0" w:type="dxa"/>
              <w:left w:w="108" w:type="dxa"/>
              <w:bottom w:w="0" w:type="dxa"/>
              <w:right w:w="108" w:type="dxa"/>
            </w:tcMar>
            <w:hideMark/>
          </w:tcPr>
          <w:p w14:paraId="65A21A97"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6C1165AE" w14:textId="77777777" w:rsidTr="006E5C07">
        <w:tc>
          <w:tcPr>
            <w:tcW w:w="2105" w:type="dxa"/>
            <w:tcMar>
              <w:top w:w="0" w:type="dxa"/>
              <w:left w:w="108" w:type="dxa"/>
              <w:bottom w:w="0" w:type="dxa"/>
              <w:right w:w="108" w:type="dxa"/>
            </w:tcMar>
            <w:hideMark/>
          </w:tcPr>
          <w:p w14:paraId="1E5C6F46"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Revenue</w:t>
            </w:r>
          </w:p>
        </w:tc>
        <w:tc>
          <w:tcPr>
            <w:tcW w:w="837" w:type="dxa"/>
            <w:tcMar>
              <w:top w:w="0" w:type="dxa"/>
              <w:left w:w="108" w:type="dxa"/>
              <w:bottom w:w="0" w:type="dxa"/>
              <w:right w:w="108" w:type="dxa"/>
            </w:tcMar>
            <w:hideMark/>
          </w:tcPr>
          <w:p w14:paraId="5B258C39"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796</w:t>
            </w:r>
          </w:p>
        </w:tc>
        <w:tc>
          <w:tcPr>
            <w:tcW w:w="837" w:type="dxa"/>
            <w:tcMar>
              <w:top w:w="0" w:type="dxa"/>
              <w:left w:w="108" w:type="dxa"/>
              <w:bottom w:w="0" w:type="dxa"/>
              <w:right w:w="108" w:type="dxa"/>
            </w:tcMar>
            <w:hideMark/>
          </w:tcPr>
          <w:p w14:paraId="4A813E99"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46</w:t>
            </w:r>
          </w:p>
        </w:tc>
        <w:tc>
          <w:tcPr>
            <w:tcW w:w="736" w:type="dxa"/>
            <w:tcMar>
              <w:top w:w="0" w:type="dxa"/>
              <w:left w:w="108" w:type="dxa"/>
              <w:bottom w:w="0" w:type="dxa"/>
              <w:right w:w="108" w:type="dxa"/>
            </w:tcMar>
            <w:hideMark/>
          </w:tcPr>
          <w:p w14:paraId="5B4B4FE4"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925</w:t>
            </w:r>
          </w:p>
        </w:tc>
        <w:tc>
          <w:tcPr>
            <w:tcW w:w="746" w:type="dxa"/>
            <w:tcMar>
              <w:top w:w="0" w:type="dxa"/>
              <w:left w:w="108" w:type="dxa"/>
              <w:bottom w:w="0" w:type="dxa"/>
              <w:right w:w="108" w:type="dxa"/>
            </w:tcMar>
            <w:hideMark/>
          </w:tcPr>
          <w:p w14:paraId="7344D5A3"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1,046</w:t>
            </w:r>
          </w:p>
        </w:tc>
        <w:tc>
          <w:tcPr>
            <w:tcW w:w="668" w:type="dxa"/>
            <w:tcMar>
              <w:top w:w="0" w:type="dxa"/>
              <w:left w:w="108" w:type="dxa"/>
              <w:bottom w:w="0" w:type="dxa"/>
              <w:right w:w="108" w:type="dxa"/>
            </w:tcMar>
            <w:hideMark/>
          </w:tcPr>
          <w:p w14:paraId="32C4B910"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627" w:type="dxa"/>
            <w:tcMar>
              <w:top w:w="0" w:type="dxa"/>
              <w:left w:w="108" w:type="dxa"/>
              <w:bottom w:w="0" w:type="dxa"/>
              <w:right w:w="108" w:type="dxa"/>
            </w:tcMar>
            <w:hideMark/>
          </w:tcPr>
          <w:p w14:paraId="3FFC758D"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742" w:type="dxa"/>
            <w:tcMar>
              <w:top w:w="0" w:type="dxa"/>
              <w:left w:w="108" w:type="dxa"/>
              <w:bottom w:w="0" w:type="dxa"/>
              <w:right w:w="108" w:type="dxa"/>
            </w:tcMar>
            <w:hideMark/>
          </w:tcPr>
          <w:p w14:paraId="53367AC9"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2,813</w:t>
            </w:r>
          </w:p>
        </w:tc>
      </w:tr>
      <w:tr w:rsidR="006E5C07" w:rsidRPr="006E5C07" w14:paraId="333784A7" w14:textId="77777777" w:rsidTr="006E5C07">
        <w:tc>
          <w:tcPr>
            <w:tcW w:w="2105" w:type="dxa"/>
            <w:tcMar>
              <w:top w:w="0" w:type="dxa"/>
              <w:left w:w="108" w:type="dxa"/>
              <w:bottom w:w="0" w:type="dxa"/>
              <w:right w:w="108" w:type="dxa"/>
            </w:tcMar>
            <w:hideMark/>
          </w:tcPr>
          <w:p w14:paraId="7276BD4B" w14:textId="77777777" w:rsidR="006E5C07" w:rsidRPr="006E5C07" w:rsidRDefault="006E5C07" w:rsidP="006E5C07">
            <w:pPr>
              <w:spacing w:after="0" w:line="240" w:lineRule="auto"/>
              <w:rPr>
                <w:rFonts w:ascii="Calibri" w:eastAsia="Times New Roman" w:hAnsi="Calibri" w:cs="Calibri"/>
              </w:rPr>
            </w:pPr>
          </w:p>
        </w:tc>
        <w:tc>
          <w:tcPr>
            <w:tcW w:w="837" w:type="dxa"/>
            <w:tcMar>
              <w:top w:w="0" w:type="dxa"/>
              <w:left w:w="108" w:type="dxa"/>
              <w:bottom w:w="0" w:type="dxa"/>
              <w:right w:w="108" w:type="dxa"/>
            </w:tcMar>
            <w:hideMark/>
          </w:tcPr>
          <w:p w14:paraId="5048D477" w14:textId="77777777" w:rsidR="006E5C07" w:rsidRPr="006E5C07" w:rsidRDefault="006E5C07" w:rsidP="006E5C07">
            <w:pPr>
              <w:spacing w:after="0" w:line="240" w:lineRule="auto"/>
              <w:jc w:val="right"/>
              <w:rPr>
                <w:rFonts w:ascii="Calibri" w:eastAsia="Times New Roman" w:hAnsi="Calibri" w:cs="Calibri"/>
              </w:rPr>
            </w:pPr>
          </w:p>
        </w:tc>
        <w:tc>
          <w:tcPr>
            <w:tcW w:w="837" w:type="dxa"/>
            <w:tcMar>
              <w:top w:w="0" w:type="dxa"/>
              <w:left w:w="108" w:type="dxa"/>
              <w:bottom w:w="0" w:type="dxa"/>
              <w:right w:w="108" w:type="dxa"/>
            </w:tcMar>
            <w:hideMark/>
          </w:tcPr>
          <w:p w14:paraId="150BBA91" w14:textId="77777777" w:rsidR="006E5C07" w:rsidRPr="006E5C07" w:rsidRDefault="006E5C07" w:rsidP="006E5C07">
            <w:pPr>
              <w:spacing w:after="0" w:line="240" w:lineRule="auto"/>
              <w:jc w:val="right"/>
              <w:rPr>
                <w:rFonts w:ascii="Calibri" w:eastAsia="Times New Roman" w:hAnsi="Calibri" w:cs="Calibri"/>
              </w:rPr>
            </w:pPr>
          </w:p>
        </w:tc>
        <w:tc>
          <w:tcPr>
            <w:tcW w:w="736" w:type="dxa"/>
            <w:tcMar>
              <w:top w:w="0" w:type="dxa"/>
              <w:left w:w="108" w:type="dxa"/>
              <w:bottom w:w="0" w:type="dxa"/>
              <w:right w:w="108" w:type="dxa"/>
            </w:tcMar>
            <w:hideMark/>
          </w:tcPr>
          <w:p w14:paraId="7E00FE46" w14:textId="77777777" w:rsidR="006E5C07" w:rsidRPr="006E5C07" w:rsidRDefault="006E5C07" w:rsidP="006E5C07">
            <w:pPr>
              <w:spacing w:after="0" w:line="240" w:lineRule="auto"/>
              <w:jc w:val="right"/>
              <w:rPr>
                <w:rFonts w:ascii="Calibri" w:eastAsia="Times New Roman" w:hAnsi="Calibri" w:cs="Calibri"/>
              </w:rPr>
            </w:pPr>
          </w:p>
        </w:tc>
        <w:tc>
          <w:tcPr>
            <w:tcW w:w="746" w:type="dxa"/>
            <w:tcMar>
              <w:top w:w="0" w:type="dxa"/>
              <w:left w:w="108" w:type="dxa"/>
              <w:bottom w:w="0" w:type="dxa"/>
              <w:right w:w="108" w:type="dxa"/>
            </w:tcMar>
            <w:hideMark/>
          </w:tcPr>
          <w:p w14:paraId="0727CD14" w14:textId="77777777" w:rsidR="006E5C07" w:rsidRPr="006E5C07" w:rsidRDefault="006E5C07" w:rsidP="006E5C07">
            <w:pPr>
              <w:spacing w:after="0" w:line="240" w:lineRule="auto"/>
              <w:jc w:val="right"/>
              <w:rPr>
                <w:rFonts w:ascii="Calibri" w:eastAsia="Times New Roman" w:hAnsi="Calibri" w:cs="Calibri"/>
              </w:rPr>
            </w:pPr>
          </w:p>
        </w:tc>
        <w:tc>
          <w:tcPr>
            <w:tcW w:w="668" w:type="dxa"/>
            <w:tcMar>
              <w:top w:w="0" w:type="dxa"/>
              <w:left w:w="108" w:type="dxa"/>
              <w:bottom w:w="0" w:type="dxa"/>
              <w:right w:w="108" w:type="dxa"/>
            </w:tcMar>
            <w:hideMark/>
          </w:tcPr>
          <w:p w14:paraId="1CF31F4E" w14:textId="77777777" w:rsidR="006E5C07" w:rsidRPr="006E5C07" w:rsidRDefault="006E5C07" w:rsidP="006E5C07">
            <w:pPr>
              <w:spacing w:after="0" w:line="240" w:lineRule="auto"/>
              <w:jc w:val="right"/>
              <w:rPr>
                <w:rFonts w:ascii="Calibri" w:eastAsia="Times New Roman" w:hAnsi="Calibri" w:cs="Calibri"/>
              </w:rPr>
            </w:pPr>
          </w:p>
        </w:tc>
        <w:tc>
          <w:tcPr>
            <w:tcW w:w="627" w:type="dxa"/>
            <w:tcMar>
              <w:top w:w="0" w:type="dxa"/>
              <w:left w:w="108" w:type="dxa"/>
              <w:bottom w:w="0" w:type="dxa"/>
              <w:right w:w="108" w:type="dxa"/>
            </w:tcMar>
            <w:hideMark/>
          </w:tcPr>
          <w:p w14:paraId="3604BF2A" w14:textId="77777777" w:rsidR="006E5C07" w:rsidRPr="006E5C07" w:rsidRDefault="006E5C07" w:rsidP="006E5C07">
            <w:pPr>
              <w:spacing w:after="0" w:line="240" w:lineRule="auto"/>
              <w:jc w:val="right"/>
              <w:rPr>
                <w:rFonts w:ascii="Calibri" w:eastAsia="Times New Roman" w:hAnsi="Calibri" w:cs="Calibri"/>
              </w:rPr>
            </w:pPr>
          </w:p>
        </w:tc>
        <w:tc>
          <w:tcPr>
            <w:tcW w:w="742" w:type="dxa"/>
            <w:tcMar>
              <w:top w:w="0" w:type="dxa"/>
              <w:left w:w="108" w:type="dxa"/>
              <w:bottom w:w="0" w:type="dxa"/>
              <w:right w:w="108" w:type="dxa"/>
            </w:tcMar>
            <w:hideMark/>
          </w:tcPr>
          <w:p w14:paraId="6F268133"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483477B5" w14:textId="77777777" w:rsidTr="006E5C07">
        <w:tc>
          <w:tcPr>
            <w:tcW w:w="2105" w:type="dxa"/>
            <w:tcMar>
              <w:top w:w="0" w:type="dxa"/>
              <w:left w:w="108" w:type="dxa"/>
              <w:bottom w:w="0" w:type="dxa"/>
              <w:right w:w="108" w:type="dxa"/>
            </w:tcMar>
            <w:hideMark/>
          </w:tcPr>
          <w:p w14:paraId="73E8CFB5"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Cost of sales</w:t>
            </w:r>
          </w:p>
        </w:tc>
        <w:tc>
          <w:tcPr>
            <w:tcW w:w="837" w:type="dxa"/>
            <w:tcMar>
              <w:top w:w="0" w:type="dxa"/>
              <w:left w:w="108" w:type="dxa"/>
              <w:bottom w:w="0" w:type="dxa"/>
              <w:right w:w="108" w:type="dxa"/>
            </w:tcMar>
            <w:hideMark/>
          </w:tcPr>
          <w:p w14:paraId="4575592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837" w:type="dxa"/>
            <w:tcMar>
              <w:top w:w="0" w:type="dxa"/>
              <w:left w:w="108" w:type="dxa"/>
              <w:bottom w:w="0" w:type="dxa"/>
              <w:right w:w="108" w:type="dxa"/>
            </w:tcMar>
            <w:hideMark/>
          </w:tcPr>
          <w:p w14:paraId="41EAE81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36" w:type="dxa"/>
            <w:tcMar>
              <w:top w:w="0" w:type="dxa"/>
              <w:left w:w="108" w:type="dxa"/>
              <w:bottom w:w="0" w:type="dxa"/>
              <w:right w:w="108" w:type="dxa"/>
            </w:tcMar>
            <w:hideMark/>
          </w:tcPr>
          <w:p w14:paraId="6BD6A4E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(753)</w:t>
            </w:r>
          </w:p>
        </w:tc>
        <w:tc>
          <w:tcPr>
            <w:tcW w:w="746" w:type="dxa"/>
            <w:tcMar>
              <w:top w:w="0" w:type="dxa"/>
              <w:left w:w="108" w:type="dxa"/>
              <w:bottom w:w="0" w:type="dxa"/>
              <w:right w:w="108" w:type="dxa"/>
            </w:tcMar>
            <w:hideMark/>
          </w:tcPr>
          <w:p w14:paraId="2481170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(664)</w:t>
            </w:r>
          </w:p>
        </w:tc>
        <w:tc>
          <w:tcPr>
            <w:tcW w:w="668" w:type="dxa"/>
            <w:tcMar>
              <w:top w:w="0" w:type="dxa"/>
              <w:left w:w="108" w:type="dxa"/>
              <w:bottom w:w="0" w:type="dxa"/>
              <w:right w:w="108" w:type="dxa"/>
            </w:tcMar>
            <w:hideMark/>
          </w:tcPr>
          <w:p w14:paraId="075C0FD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27" w:type="dxa"/>
            <w:tcMar>
              <w:top w:w="0" w:type="dxa"/>
              <w:left w:w="108" w:type="dxa"/>
              <w:bottom w:w="0" w:type="dxa"/>
              <w:right w:w="108" w:type="dxa"/>
            </w:tcMar>
            <w:hideMark/>
          </w:tcPr>
          <w:p w14:paraId="71D7EDA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42" w:type="dxa"/>
            <w:tcMar>
              <w:top w:w="0" w:type="dxa"/>
              <w:left w:w="108" w:type="dxa"/>
              <w:bottom w:w="0" w:type="dxa"/>
              <w:right w:w="108" w:type="dxa"/>
            </w:tcMar>
            <w:hideMark/>
          </w:tcPr>
          <w:p w14:paraId="03C56EB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(1,417)</w:t>
            </w:r>
          </w:p>
        </w:tc>
      </w:tr>
      <w:tr w:rsidR="006E5C07" w:rsidRPr="006E5C07" w14:paraId="1C9C39A5" w14:textId="77777777" w:rsidTr="006E5C07">
        <w:tc>
          <w:tcPr>
            <w:tcW w:w="2105" w:type="dxa"/>
            <w:tcMar>
              <w:top w:w="0" w:type="dxa"/>
              <w:left w:w="108" w:type="dxa"/>
              <w:bottom w:w="0" w:type="dxa"/>
              <w:right w:w="108" w:type="dxa"/>
            </w:tcMar>
            <w:hideMark/>
          </w:tcPr>
          <w:p w14:paraId="1FE13AD0"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Administrative expenses</w:t>
            </w:r>
          </w:p>
        </w:tc>
        <w:tc>
          <w:tcPr>
            <w:tcW w:w="837" w:type="dxa"/>
            <w:tcMar>
              <w:top w:w="0" w:type="dxa"/>
              <w:left w:w="108" w:type="dxa"/>
              <w:bottom w:w="0" w:type="dxa"/>
              <w:right w:w="108" w:type="dxa"/>
            </w:tcMar>
            <w:hideMark/>
          </w:tcPr>
          <w:p w14:paraId="1E9A122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(1,955)</w:t>
            </w:r>
          </w:p>
        </w:tc>
        <w:tc>
          <w:tcPr>
            <w:tcW w:w="837" w:type="dxa"/>
            <w:tcMar>
              <w:top w:w="0" w:type="dxa"/>
              <w:left w:w="108" w:type="dxa"/>
              <w:bottom w:w="0" w:type="dxa"/>
              <w:right w:w="108" w:type="dxa"/>
            </w:tcMar>
            <w:hideMark/>
          </w:tcPr>
          <w:p w14:paraId="17B7652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(136)</w:t>
            </w:r>
          </w:p>
        </w:tc>
        <w:tc>
          <w:tcPr>
            <w:tcW w:w="736" w:type="dxa"/>
            <w:tcMar>
              <w:top w:w="0" w:type="dxa"/>
              <w:left w:w="108" w:type="dxa"/>
              <w:bottom w:w="0" w:type="dxa"/>
              <w:right w:w="108" w:type="dxa"/>
            </w:tcMar>
            <w:hideMark/>
          </w:tcPr>
          <w:p w14:paraId="71B0036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(250)</w:t>
            </w:r>
          </w:p>
        </w:tc>
        <w:tc>
          <w:tcPr>
            <w:tcW w:w="746" w:type="dxa"/>
            <w:tcMar>
              <w:top w:w="0" w:type="dxa"/>
              <w:left w:w="108" w:type="dxa"/>
              <w:bottom w:w="0" w:type="dxa"/>
              <w:right w:w="108" w:type="dxa"/>
            </w:tcMar>
            <w:hideMark/>
          </w:tcPr>
          <w:p w14:paraId="087F3A6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(1,069)</w:t>
            </w:r>
          </w:p>
        </w:tc>
        <w:tc>
          <w:tcPr>
            <w:tcW w:w="668" w:type="dxa"/>
            <w:tcMar>
              <w:top w:w="0" w:type="dxa"/>
              <w:left w:w="108" w:type="dxa"/>
              <w:bottom w:w="0" w:type="dxa"/>
              <w:right w:w="108" w:type="dxa"/>
            </w:tcMar>
            <w:hideMark/>
          </w:tcPr>
          <w:p w14:paraId="13F0F71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(857)</w:t>
            </w:r>
          </w:p>
        </w:tc>
        <w:tc>
          <w:tcPr>
            <w:tcW w:w="627" w:type="dxa"/>
            <w:tcMar>
              <w:top w:w="0" w:type="dxa"/>
              <w:left w:w="108" w:type="dxa"/>
              <w:bottom w:w="0" w:type="dxa"/>
              <w:right w:w="108" w:type="dxa"/>
            </w:tcMar>
            <w:hideMark/>
          </w:tcPr>
          <w:p w14:paraId="1E44B7A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42" w:type="dxa"/>
            <w:tcMar>
              <w:top w:w="0" w:type="dxa"/>
              <w:left w:w="108" w:type="dxa"/>
              <w:bottom w:w="0" w:type="dxa"/>
              <w:right w:w="108" w:type="dxa"/>
            </w:tcMar>
            <w:hideMark/>
          </w:tcPr>
          <w:p w14:paraId="4D464A4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(4,267)</w:t>
            </w:r>
          </w:p>
        </w:tc>
      </w:tr>
      <w:tr w:rsidR="006E5C07" w:rsidRPr="006E5C07" w14:paraId="3EF61587" w14:textId="77777777" w:rsidTr="006E5C07">
        <w:tc>
          <w:tcPr>
            <w:tcW w:w="2105" w:type="dxa"/>
            <w:tcMar>
              <w:top w:w="0" w:type="dxa"/>
              <w:left w:w="108" w:type="dxa"/>
              <w:bottom w:w="0" w:type="dxa"/>
              <w:right w:w="108" w:type="dxa"/>
            </w:tcMar>
            <w:hideMark/>
          </w:tcPr>
          <w:p w14:paraId="305C3D18"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Other revenue</w:t>
            </w:r>
          </w:p>
        </w:tc>
        <w:tc>
          <w:tcPr>
            <w:tcW w:w="837" w:type="dxa"/>
            <w:tcMar>
              <w:top w:w="0" w:type="dxa"/>
              <w:left w:w="108" w:type="dxa"/>
              <w:bottom w:w="0" w:type="dxa"/>
              <w:right w:w="108" w:type="dxa"/>
            </w:tcMar>
            <w:hideMark/>
          </w:tcPr>
          <w:p w14:paraId="5DA0868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439</w:t>
            </w:r>
          </w:p>
        </w:tc>
        <w:tc>
          <w:tcPr>
            <w:tcW w:w="837" w:type="dxa"/>
            <w:tcMar>
              <w:top w:w="0" w:type="dxa"/>
              <w:left w:w="108" w:type="dxa"/>
              <w:bottom w:w="0" w:type="dxa"/>
              <w:right w:w="108" w:type="dxa"/>
            </w:tcMar>
            <w:hideMark/>
          </w:tcPr>
          <w:p w14:paraId="7254D2F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w:t>
            </w:r>
          </w:p>
        </w:tc>
        <w:tc>
          <w:tcPr>
            <w:tcW w:w="736" w:type="dxa"/>
            <w:tcMar>
              <w:top w:w="0" w:type="dxa"/>
              <w:left w:w="108" w:type="dxa"/>
              <w:bottom w:w="0" w:type="dxa"/>
              <w:right w:w="108" w:type="dxa"/>
            </w:tcMar>
            <w:hideMark/>
          </w:tcPr>
          <w:p w14:paraId="3B2E07E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46" w:type="dxa"/>
            <w:tcMar>
              <w:top w:w="0" w:type="dxa"/>
              <w:left w:w="108" w:type="dxa"/>
              <w:bottom w:w="0" w:type="dxa"/>
              <w:right w:w="108" w:type="dxa"/>
            </w:tcMar>
            <w:hideMark/>
          </w:tcPr>
          <w:p w14:paraId="6FF0F46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295</w:t>
            </w:r>
          </w:p>
        </w:tc>
        <w:tc>
          <w:tcPr>
            <w:tcW w:w="668" w:type="dxa"/>
            <w:tcMar>
              <w:top w:w="0" w:type="dxa"/>
              <w:left w:w="108" w:type="dxa"/>
              <w:bottom w:w="0" w:type="dxa"/>
              <w:right w:w="108" w:type="dxa"/>
            </w:tcMar>
            <w:hideMark/>
          </w:tcPr>
          <w:p w14:paraId="09DD70C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27" w:type="dxa"/>
            <w:tcMar>
              <w:top w:w="0" w:type="dxa"/>
              <w:left w:w="108" w:type="dxa"/>
              <w:bottom w:w="0" w:type="dxa"/>
              <w:right w:w="108" w:type="dxa"/>
            </w:tcMar>
            <w:hideMark/>
          </w:tcPr>
          <w:p w14:paraId="0F3B8BD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42" w:type="dxa"/>
            <w:tcMar>
              <w:top w:w="0" w:type="dxa"/>
              <w:left w:w="108" w:type="dxa"/>
              <w:bottom w:w="0" w:type="dxa"/>
              <w:right w:w="108" w:type="dxa"/>
            </w:tcMar>
            <w:hideMark/>
          </w:tcPr>
          <w:p w14:paraId="7A703D8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739</w:t>
            </w:r>
          </w:p>
        </w:tc>
      </w:tr>
      <w:tr w:rsidR="006E5C07" w:rsidRPr="006E5C07" w14:paraId="28A5845C" w14:textId="77777777" w:rsidTr="006E5C07">
        <w:tc>
          <w:tcPr>
            <w:tcW w:w="2105" w:type="dxa"/>
            <w:tcMar>
              <w:top w:w="0" w:type="dxa"/>
              <w:left w:w="108" w:type="dxa"/>
              <w:bottom w:w="0" w:type="dxa"/>
              <w:right w:w="108" w:type="dxa"/>
            </w:tcMar>
            <w:hideMark/>
          </w:tcPr>
          <w:p w14:paraId="01A4A4A7"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Non-recurring charges</w:t>
            </w:r>
          </w:p>
          <w:p w14:paraId="244D4E85"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Loss associated with discontinued operation</w:t>
            </w:r>
          </w:p>
          <w:p w14:paraId="44CA1278"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tc>
        <w:tc>
          <w:tcPr>
            <w:tcW w:w="837" w:type="dxa"/>
            <w:tcBorders>
              <w:top w:val="nil"/>
              <w:left w:val="nil"/>
              <w:bottom w:val="single" w:sz="8" w:space="0" w:color="auto"/>
              <w:right w:val="nil"/>
            </w:tcBorders>
            <w:tcMar>
              <w:top w:w="0" w:type="dxa"/>
              <w:left w:w="108" w:type="dxa"/>
              <w:bottom w:w="0" w:type="dxa"/>
              <w:right w:w="108" w:type="dxa"/>
            </w:tcMar>
            <w:hideMark/>
          </w:tcPr>
          <w:p w14:paraId="173355E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(18)</w:t>
            </w:r>
          </w:p>
          <w:p w14:paraId="2772777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6D5D410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837" w:type="dxa"/>
            <w:tcBorders>
              <w:top w:val="nil"/>
              <w:left w:val="nil"/>
              <w:bottom w:val="single" w:sz="8" w:space="0" w:color="auto"/>
              <w:right w:val="nil"/>
            </w:tcBorders>
            <w:tcMar>
              <w:top w:w="0" w:type="dxa"/>
              <w:left w:w="108" w:type="dxa"/>
              <w:bottom w:w="0" w:type="dxa"/>
              <w:right w:w="108" w:type="dxa"/>
            </w:tcMar>
            <w:hideMark/>
          </w:tcPr>
          <w:p w14:paraId="2D94A9F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(111)</w:t>
            </w:r>
          </w:p>
          <w:p w14:paraId="3B4975D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0C39D44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36" w:type="dxa"/>
            <w:tcBorders>
              <w:top w:val="nil"/>
              <w:left w:val="nil"/>
              <w:bottom w:val="single" w:sz="8" w:space="0" w:color="auto"/>
              <w:right w:val="nil"/>
            </w:tcBorders>
            <w:tcMar>
              <w:top w:w="0" w:type="dxa"/>
              <w:left w:w="108" w:type="dxa"/>
              <w:bottom w:w="0" w:type="dxa"/>
              <w:right w:w="108" w:type="dxa"/>
            </w:tcMar>
            <w:hideMark/>
          </w:tcPr>
          <w:p w14:paraId="219088B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p w14:paraId="40D9E32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01EBD64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46" w:type="dxa"/>
            <w:tcBorders>
              <w:top w:val="nil"/>
              <w:left w:val="nil"/>
              <w:bottom w:val="single" w:sz="8" w:space="0" w:color="auto"/>
              <w:right w:val="nil"/>
            </w:tcBorders>
            <w:tcMar>
              <w:top w:w="0" w:type="dxa"/>
              <w:left w:w="108" w:type="dxa"/>
              <w:bottom w:w="0" w:type="dxa"/>
              <w:right w:w="108" w:type="dxa"/>
            </w:tcMar>
            <w:hideMark/>
          </w:tcPr>
          <w:p w14:paraId="4F88922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p w14:paraId="455C922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0B5FCFC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68" w:type="dxa"/>
            <w:tcBorders>
              <w:top w:val="nil"/>
              <w:left w:val="nil"/>
              <w:bottom w:val="single" w:sz="8" w:space="0" w:color="auto"/>
              <w:right w:val="nil"/>
            </w:tcBorders>
            <w:tcMar>
              <w:top w:w="0" w:type="dxa"/>
              <w:left w:w="108" w:type="dxa"/>
              <w:bottom w:w="0" w:type="dxa"/>
              <w:right w:w="108" w:type="dxa"/>
            </w:tcMar>
            <w:hideMark/>
          </w:tcPr>
          <w:p w14:paraId="75B3484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(1,313)</w:t>
            </w:r>
          </w:p>
          <w:p w14:paraId="79E7D79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4E462D3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27" w:type="dxa"/>
            <w:tcBorders>
              <w:top w:val="nil"/>
              <w:left w:val="nil"/>
              <w:bottom w:val="single" w:sz="8" w:space="0" w:color="auto"/>
              <w:right w:val="nil"/>
            </w:tcBorders>
            <w:tcMar>
              <w:top w:w="0" w:type="dxa"/>
              <w:left w:w="108" w:type="dxa"/>
              <w:bottom w:w="0" w:type="dxa"/>
              <w:right w:w="108" w:type="dxa"/>
            </w:tcMar>
            <w:hideMark/>
          </w:tcPr>
          <w:p w14:paraId="754293B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p w14:paraId="1628C3E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34F0E75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(518)</w:t>
            </w:r>
          </w:p>
        </w:tc>
        <w:tc>
          <w:tcPr>
            <w:tcW w:w="742" w:type="dxa"/>
            <w:tcBorders>
              <w:top w:val="nil"/>
              <w:left w:val="nil"/>
              <w:bottom w:val="single" w:sz="8" w:space="0" w:color="auto"/>
              <w:right w:val="nil"/>
            </w:tcBorders>
            <w:tcMar>
              <w:top w:w="0" w:type="dxa"/>
              <w:left w:w="108" w:type="dxa"/>
              <w:bottom w:w="0" w:type="dxa"/>
              <w:right w:w="108" w:type="dxa"/>
            </w:tcMar>
            <w:hideMark/>
          </w:tcPr>
          <w:p w14:paraId="18E6B2D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(1,442)</w:t>
            </w:r>
          </w:p>
          <w:p w14:paraId="6567C69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593A323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(518)</w:t>
            </w:r>
          </w:p>
        </w:tc>
      </w:tr>
      <w:tr w:rsidR="006E5C07" w:rsidRPr="006E5C07" w14:paraId="2D98DB55" w14:textId="77777777" w:rsidTr="006E5C07">
        <w:tc>
          <w:tcPr>
            <w:tcW w:w="2105" w:type="dxa"/>
            <w:tcMar>
              <w:top w:w="0" w:type="dxa"/>
              <w:left w:w="108" w:type="dxa"/>
              <w:bottom w:w="0" w:type="dxa"/>
              <w:right w:w="108" w:type="dxa"/>
            </w:tcMar>
            <w:hideMark/>
          </w:tcPr>
          <w:p w14:paraId="70D3741E"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Segment operating loss</w:t>
            </w:r>
          </w:p>
        </w:tc>
        <w:tc>
          <w:tcPr>
            <w:tcW w:w="837" w:type="dxa"/>
            <w:tcBorders>
              <w:top w:val="nil"/>
              <w:left w:val="nil"/>
              <w:bottom w:val="nil"/>
              <w:right w:val="nil"/>
            </w:tcBorders>
            <w:tcMar>
              <w:top w:w="0" w:type="dxa"/>
              <w:left w:w="108" w:type="dxa"/>
              <w:bottom w:w="0" w:type="dxa"/>
              <w:right w:w="108" w:type="dxa"/>
            </w:tcMar>
            <w:hideMark/>
          </w:tcPr>
          <w:p w14:paraId="7B1A93AA"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(738)</w:t>
            </w:r>
          </w:p>
        </w:tc>
        <w:tc>
          <w:tcPr>
            <w:tcW w:w="837" w:type="dxa"/>
            <w:tcBorders>
              <w:top w:val="nil"/>
              <w:left w:val="nil"/>
              <w:bottom w:val="nil"/>
              <w:right w:val="nil"/>
            </w:tcBorders>
            <w:tcMar>
              <w:top w:w="0" w:type="dxa"/>
              <w:left w:w="108" w:type="dxa"/>
              <w:bottom w:w="0" w:type="dxa"/>
              <w:right w:w="108" w:type="dxa"/>
            </w:tcMar>
            <w:hideMark/>
          </w:tcPr>
          <w:p w14:paraId="459FC8D5"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(196)</w:t>
            </w:r>
          </w:p>
        </w:tc>
        <w:tc>
          <w:tcPr>
            <w:tcW w:w="736" w:type="dxa"/>
            <w:tcBorders>
              <w:top w:val="nil"/>
              <w:left w:val="nil"/>
              <w:bottom w:val="nil"/>
              <w:right w:val="nil"/>
            </w:tcBorders>
            <w:tcMar>
              <w:top w:w="0" w:type="dxa"/>
              <w:left w:w="108" w:type="dxa"/>
              <w:bottom w:w="0" w:type="dxa"/>
              <w:right w:w="108" w:type="dxa"/>
            </w:tcMar>
            <w:hideMark/>
          </w:tcPr>
          <w:p w14:paraId="1DE878C2"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(78)</w:t>
            </w:r>
          </w:p>
        </w:tc>
        <w:tc>
          <w:tcPr>
            <w:tcW w:w="746" w:type="dxa"/>
            <w:tcBorders>
              <w:top w:val="nil"/>
              <w:left w:val="nil"/>
              <w:bottom w:val="nil"/>
              <w:right w:val="nil"/>
            </w:tcBorders>
            <w:tcMar>
              <w:top w:w="0" w:type="dxa"/>
              <w:left w:w="108" w:type="dxa"/>
              <w:bottom w:w="0" w:type="dxa"/>
              <w:right w:w="108" w:type="dxa"/>
            </w:tcMar>
            <w:hideMark/>
          </w:tcPr>
          <w:p w14:paraId="7A6D7B19"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(392)</w:t>
            </w:r>
          </w:p>
        </w:tc>
        <w:tc>
          <w:tcPr>
            <w:tcW w:w="668" w:type="dxa"/>
            <w:tcBorders>
              <w:top w:val="nil"/>
              <w:left w:val="nil"/>
              <w:bottom w:val="nil"/>
              <w:right w:val="nil"/>
            </w:tcBorders>
            <w:tcMar>
              <w:top w:w="0" w:type="dxa"/>
              <w:left w:w="108" w:type="dxa"/>
              <w:bottom w:w="0" w:type="dxa"/>
              <w:right w:w="108" w:type="dxa"/>
            </w:tcMar>
            <w:hideMark/>
          </w:tcPr>
          <w:p w14:paraId="55185901"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(2,170)</w:t>
            </w:r>
          </w:p>
        </w:tc>
        <w:tc>
          <w:tcPr>
            <w:tcW w:w="627" w:type="dxa"/>
            <w:tcBorders>
              <w:top w:val="nil"/>
              <w:left w:val="nil"/>
              <w:bottom w:val="nil"/>
              <w:right w:val="nil"/>
            </w:tcBorders>
            <w:tcMar>
              <w:top w:w="0" w:type="dxa"/>
              <w:left w:w="108" w:type="dxa"/>
              <w:bottom w:w="0" w:type="dxa"/>
              <w:right w:w="108" w:type="dxa"/>
            </w:tcMar>
            <w:hideMark/>
          </w:tcPr>
          <w:p w14:paraId="221B5CFF"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(518)</w:t>
            </w:r>
          </w:p>
        </w:tc>
        <w:tc>
          <w:tcPr>
            <w:tcW w:w="742" w:type="dxa"/>
            <w:tcBorders>
              <w:top w:val="nil"/>
              <w:left w:val="nil"/>
              <w:bottom w:val="nil"/>
              <w:right w:val="nil"/>
            </w:tcBorders>
            <w:tcMar>
              <w:top w:w="0" w:type="dxa"/>
              <w:left w:w="108" w:type="dxa"/>
              <w:bottom w:w="0" w:type="dxa"/>
              <w:right w:w="108" w:type="dxa"/>
            </w:tcMar>
            <w:hideMark/>
          </w:tcPr>
          <w:p w14:paraId="0ECB701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(4,092)</w:t>
            </w:r>
          </w:p>
        </w:tc>
      </w:tr>
      <w:tr w:rsidR="006E5C07" w:rsidRPr="006E5C07" w14:paraId="730B4128" w14:textId="77777777" w:rsidTr="006E5C07">
        <w:tc>
          <w:tcPr>
            <w:tcW w:w="2105" w:type="dxa"/>
            <w:tcMar>
              <w:top w:w="0" w:type="dxa"/>
              <w:left w:w="108" w:type="dxa"/>
              <w:bottom w:w="0" w:type="dxa"/>
              <w:right w:w="108" w:type="dxa"/>
            </w:tcMar>
            <w:hideMark/>
          </w:tcPr>
          <w:p w14:paraId="5C231AB4" w14:textId="77777777" w:rsidR="006E5C07" w:rsidRPr="006E5C07" w:rsidRDefault="006E5C07" w:rsidP="006E5C07">
            <w:pPr>
              <w:spacing w:after="0" w:line="240" w:lineRule="auto"/>
              <w:rPr>
                <w:rFonts w:ascii="Calibri" w:eastAsia="Times New Roman" w:hAnsi="Calibri" w:cs="Calibri"/>
                <w:b/>
                <w:bCs/>
              </w:rPr>
            </w:pPr>
          </w:p>
        </w:tc>
        <w:tc>
          <w:tcPr>
            <w:tcW w:w="837" w:type="dxa"/>
            <w:tcBorders>
              <w:top w:val="nil"/>
              <w:left w:val="nil"/>
              <w:bottom w:val="single" w:sz="8" w:space="0" w:color="auto"/>
              <w:right w:val="nil"/>
            </w:tcBorders>
            <w:tcMar>
              <w:top w:w="0" w:type="dxa"/>
              <w:left w:w="108" w:type="dxa"/>
              <w:bottom w:w="0" w:type="dxa"/>
              <w:right w:w="108" w:type="dxa"/>
            </w:tcMar>
            <w:hideMark/>
          </w:tcPr>
          <w:p w14:paraId="49C44887" w14:textId="77777777" w:rsidR="006E5C07" w:rsidRPr="006E5C07" w:rsidRDefault="006E5C07" w:rsidP="006E5C07">
            <w:pPr>
              <w:spacing w:after="0" w:line="240" w:lineRule="auto"/>
              <w:jc w:val="right"/>
              <w:rPr>
                <w:rFonts w:ascii="Calibri" w:eastAsia="Times New Roman" w:hAnsi="Calibri" w:cs="Calibri"/>
                <w:b/>
                <w:bCs/>
              </w:rPr>
            </w:pPr>
          </w:p>
        </w:tc>
        <w:tc>
          <w:tcPr>
            <w:tcW w:w="837" w:type="dxa"/>
            <w:tcBorders>
              <w:top w:val="nil"/>
              <w:left w:val="nil"/>
              <w:bottom w:val="single" w:sz="8" w:space="0" w:color="auto"/>
              <w:right w:val="nil"/>
            </w:tcBorders>
            <w:tcMar>
              <w:top w:w="0" w:type="dxa"/>
              <w:left w:w="108" w:type="dxa"/>
              <w:bottom w:w="0" w:type="dxa"/>
              <w:right w:w="108" w:type="dxa"/>
            </w:tcMar>
            <w:hideMark/>
          </w:tcPr>
          <w:p w14:paraId="0A1F346B" w14:textId="77777777" w:rsidR="006E5C07" w:rsidRPr="006E5C07" w:rsidRDefault="006E5C07" w:rsidP="006E5C07">
            <w:pPr>
              <w:spacing w:after="0" w:line="240" w:lineRule="auto"/>
              <w:jc w:val="right"/>
              <w:rPr>
                <w:rFonts w:ascii="Calibri" w:eastAsia="Times New Roman" w:hAnsi="Calibri" w:cs="Calibri"/>
                <w:b/>
                <w:bCs/>
              </w:rPr>
            </w:pPr>
          </w:p>
        </w:tc>
        <w:tc>
          <w:tcPr>
            <w:tcW w:w="736" w:type="dxa"/>
            <w:tcBorders>
              <w:top w:val="nil"/>
              <w:left w:val="nil"/>
              <w:bottom w:val="single" w:sz="8" w:space="0" w:color="auto"/>
              <w:right w:val="nil"/>
            </w:tcBorders>
            <w:tcMar>
              <w:top w:w="0" w:type="dxa"/>
              <w:left w:w="108" w:type="dxa"/>
              <w:bottom w:w="0" w:type="dxa"/>
              <w:right w:w="108" w:type="dxa"/>
            </w:tcMar>
            <w:hideMark/>
          </w:tcPr>
          <w:p w14:paraId="6A2AAA63" w14:textId="77777777" w:rsidR="006E5C07" w:rsidRPr="006E5C07" w:rsidRDefault="006E5C07" w:rsidP="006E5C07">
            <w:pPr>
              <w:spacing w:after="0" w:line="240" w:lineRule="auto"/>
              <w:jc w:val="right"/>
              <w:rPr>
                <w:rFonts w:ascii="Calibri" w:eastAsia="Times New Roman" w:hAnsi="Calibri" w:cs="Calibri"/>
                <w:b/>
                <w:bCs/>
              </w:rPr>
            </w:pPr>
          </w:p>
        </w:tc>
        <w:tc>
          <w:tcPr>
            <w:tcW w:w="746" w:type="dxa"/>
            <w:tcBorders>
              <w:top w:val="nil"/>
              <w:left w:val="nil"/>
              <w:bottom w:val="single" w:sz="8" w:space="0" w:color="auto"/>
              <w:right w:val="nil"/>
            </w:tcBorders>
            <w:tcMar>
              <w:top w:w="0" w:type="dxa"/>
              <w:left w:w="108" w:type="dxa"/>
              <w:bottom w:w="0" w:type="dxa"/>
              <w:right w:w="108" w:type="dxa"/>
            </w:tcMar>
            <w:hideMark/>
          </w:tcPr>
          <w:p w14:paraId="01D776AE" w14:textId="77777777" w:rsidR="006E5C07" w:rsidRPr="006E5C07" w:rsidRDefault="006E5C07" w:rsidP="006E5C07">
            <w:pPr>
              <w:spacing w:after="0" w:line="240" w:lineRule="auto"/>
              <w:jc w:val="right"/>
              <w:rPr>
                <w:rFonts w:ascii="Calibri" w:eastAsia="Times New Roman" w:hAnsi="Calibri" w:cs="Calibri"/>
                <w:b/>
                <w:bCs/>
              </w:rPr>
            </w:pPr>
          </w:p>
        </w:tc>
        <w:tc>
          <w:tcPr>
            <w:tcW w:w="668" w:type="dxa"/>
            <w:tcBorders>
              <w:top w:val="nil"/>
              <w:left w:val="nil"/>
              <w:bottom w:val="single" w:sz="8" w:space="0" w:color="auto"/>
              <w:right w:val="nil"/>
            </w:tcBorders>
            <w:tcMar>
              <w:top w:w="0" w:type="dxa"/>
              <w:left w:w="108" w:type="dxa"/>
              <w:bottom w:w="0" w:type="dxa"/>
              <w:right w:w="108" w:type="dxa"/>
            </w:tcMar>
            <w:hideMark/>
          </w:tcPr>
          <w:p w14:paraId="41F0951A" w14:textId="77777777" w:rsidR="006E5C07" w:rsidRPr="006E5C07" w:rsidRDefault="006E5C07" w:rsidP="006E5C07">
            <w:pPr>
              <w:spacing w:after="0" w:line="240" w:lineRule="auto"/>
              <w:jc w:val="right"/>
              <w:rPr>
                <w:rFonts w:ascii="Calibri" w:eastAsia="Times New Roman" w:hAnsi="Calibri" w:cs="Calibri"/>
                <w:b/>
                <w:bCs/>
              </w:rPr>
            </w:pPr>
          </w:p>
        </w:tc>
        <w:tc>
          <w:tcPr>
            <w:tcW w:w="627" w:type="dxa"/>
            <w:tcBorders>
              <w:top w:val="nil"/>
              <w:left w:val="nil"/>
              <w:bottom w:val="single" w:sz="8" w:space="0" w:color="auto"/>
              <w:right w:val="nil"/>
            </w:tcBorders>
            <w:tcMar>
              <w:top w:w="0" w:type="dxa"/>
              <w:left w:w="108" w:type="dxa"/>
              <w:bottom w:w="0" w:type="dxa"/>
              <w:right w:w="108" w:type="dxa"/>
            </w:tcMar>
            <w:hideMark/>
          </w:tcPr>
          <w:p w14:paraId="4594E083" w14:textId="77777777" w:rsidR="006E5C07" w:rsidRPr="006E5C07" w:rsidRDefault="006E5C07" w:rsidP="006E5C07">
            <w:pPr>
              <w:spacing w:after="0" w:line="240" w:lineRule="auto"/>
              <w:jc w:val="right"/>
              <w:rPr>
                <w:rFonts w:ascii="Calibri" w:eastAsia="Times New Roman" w:hAnsi="Calibri" w:cs="Calibri"/>
                <w:b/>
                <w:bCs/>
              </w:rPr>
            </w:pPr>
          </w:p>
        </w:tc>
        <w:tc>
          <w:tcPr>
            <w:tcW w:w="742" w:type="dxa"/>
            <w:tcBorders>
              <w:top w:val="nil"/>
              <w:left w:val="nil"/>
              <w:bottom w:val="single" w:sz="8" w:space="0" w:color="auto"/>
              <w:right w:val="nil"/>
            </w:tcBorders>
            <w:tcMar>
              <w:top w:w="0" w:type="dxa"/>
              <w:left w:w="108" w:type="dxa"/>
              <w:bottom w:w="0" w:type="dxa"/>
              <w:right w:w="108" w:type="dxa"/>
            </w:tcMar>
            <w:hideMark/>
          </w:tcPr>
          <w:p w14:paraId="7B75D8CE"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51FB1C75" w14:textId="77777777" w:rsidTr="006E5C07">
        <w:tc>
          <w:tcPr>
            <w:tcW w:w="2105" w:type="dxa"/>
            <w:tcMar>
              <w:top w:w="0" w:type="dxa"/>
              <w:left w:w="108" w:type="dxa"/>
              <w:bottom w:w="0" w:type="dxa"/>
              <w:right w:w="108" w:type="dxa"/>
            </w:tcMar>
            <w:hideMark/>
          </w:tcPr>
          <w:p w14:paraId="11CF9225" w14:textId="77777777" w:rsidR="006E5C07" w:rsidRPr="006E5C07" w:rsidRDefault="006E5C07" w:rsidP="006E5C07">
            <w:pPr>
              <w:spacing w:after="0" w:line="240" w:lineRule="auto"/>
              <w:rPr>
                <w:rFonts w:ascii="Calibri" w:eastAsia="Times New Roman" w:hAnsi="Calibri" w:cs="Calibri"/>
              </w:rPr>
            </w:pPr>
          </w:p>
        </w:tc>
        <w:tc>
          <w:tcPr>
            <w:tcW w:w="837" w:type="dxa"/>
            <w:tcMar>
              <w:top w:w="0" w:type="dxa"/>
              <w:left w:w="108" w:type="dxa"/>
              <w:bottom w:w="0" w:type="dxa"/>
              <w:right w:w="108" w:type="dxa"/>
            </w:tcMar>
            <w:hideMark/>
          </w:tcPr>
          <w:p w14:paraId="63265D98" w14:textId="77777777" w:rsidR="006E5C07" w:rsidRPr="006E5C07" w:rsidRDefault="006E5C07" w:rsidP="006E5C07">
            <w:pPr>
              <w:spacing w:after="0" w:line="240" w:lineRule="auto"/>
              <w:rPr>
                <w:rFonts w:ascii="Calibri" w:eastAsia="Times New Roman" w:hAnsi="Calibri" w:cs="Calibri"/>
              </w:rPr>
            </w:pPr>
          </w:p>
        </w:tc>
        <w:tc>
          <w:tcPr>
            <w:tcW w:w="837" w:type="dxa"/>
            <w:tcMar>
              <w:top w:w="0" w:type="dxa"/>
              <w:left w:w="108" w:type="dxa"/>
              <w:bottom w:w="0" w:type="dxa"/>
              <w:right w:w="108" w:type="dxa"/>
            </w:tcMar>
            <w:hideMark/>
          </w:tcPr>
          <w:p w14:paraId="51E18D59" w14:textId="77777777" w:rsidR="006E5C07" w:rsidRPr="006E5C07" w:rsidRDefault="006E5C07" w:rsidP="006E5C07">
            <w:pPr>
              <w:spacing w:after="0" w:line="240" w:lineRule="auto"/>
              <w:rPr>
                <w:rFonts w:ascii="Calibri" w:eastAsia="Times New Roman" w:hAnsi="Calibri" w:cs="Calibri"/>
              </w:rPr>
            </w:pPr>
          </w:p>
        </w:tc>
        <w:tc>
          <w:tcPr>
            <w:tcW w:w="736" w:type="dxa"/>
            <w:tcMar>
              <w:top w:w="0" w:type="dxa"/>
              <w:left w:w="108" w:type="dxa"/>
              <w:bottom w:w="0" w:type="dxa"/>
              <w:right w:w="108" w:type="dxa"/>
            </w:tcMar>
            <w:hideMark/>
          </w:tcPr>
          <w:p w14:paraId="54F87635" w14:textId="77777777" w:rsidR="006E5C07" w:rsidRPr="006E5C07" w:rsidRDefault="006E5C07" w:rsidP="006E5C07">
            <w:pPr>
              <w:spacing w:after="0" w:line="240" w:lineRule="auto"/>
              <w:rPr>
                <w:rFonts w:ascii="Calibri" w:eastAsia="Times New Roman" w:hAnsi="Calibri" w:cs="Calibri"/>
              </w:rPr>
            </w:pPr>
          </w:p>
        </w:tc>
        <w:tc>
          <w:tcPr>
            <w:tcW w:w="746" w:type="dxa"/>
            <w:tcMar>
              <w:top w:w="0" w:type="dxa"/>
              <w:left w:w="108" w:type="dxa"/>
              <w:bottom w:w="0" w:type="dxa"/>
              <w:right w:w="108" w:type="dxa"/>
            </w:tcMar>
            <w:hideMark/>
          </w:tcPr>
          <w:p w14:paraId="5ADBB827" w14:textId="77777777" w:rsidR="006E5C07" w:rsidRPr="006E5C07" w:rsidRDefault="006E5C07" w:rsidP="006E5C07">
            <w:pPr>
              <w:spacing w:after="0" w:line="240" w:lineRule="auto"/>
              <w:rPr>
                <w:rFonts w:ascii="Calibri" w:eastAsia="Times New Roman" w:hAnsi="Calibri" w:cs="Calibri"/>
              </w:rPr>
            </w:pPr>
          </w:p>
        </w:tc>
        <w:tc>
          <w:tcPr>
            <w:tcW w:w="668" w:type="dxa"/>
            <w:tcMar>
              <w:top w:w="0" w:type="dxa"/>
              <w:left w:w="108" w:type="dxa"/>
              <w:bottom w:w="0" w:type="dxa"/>
              <w:right w:w="108" w:type="dxa"/>
            </w:tcMar>
            <w:hideMark/>
          </w:tcPr>
          <w:p w14:paraId="3A349566" w14:textId="77777777" w:rsidR="006E5C07" w:rsidRPr="006E5C07" w:rsidRDefault="006E5C07" w:rsidP="006E5C07">
            <w:pPr>
              <w:spacing w:after="0" w:line="240" w:lineRule="auto"/>
              <w:rPr>
                <w:rFonts w:ascii="Calibri" w:eastAsia="Times New Roman" w:hAnsi="Calibri" w:cs="Calibri"/>
              </w:rPr>
            </w:pPr>
          </w:p>
        </w:tc>
        <w:tc>
          <w:tcPr>
            <w:tcW w:w="627" w:type="dxa"/>
            <w:tcMar>
              <w:top w:w="0" w:type="dxa"/>
              <w:left w:w="108" w:type="dxa"/>
              <w:bottom w:w="0" w:type="dxa"/>
              <w:right w:w="108" w:type="dxa"/>
            </w:tcMar>
            <w:hideMark/>
          </w:tcPr>
          <w:p w14:paraId="0E542CBF" w14:textId="77777777" w:rsidR="006E5C07" w:rsidRPr="006E5C07" w:rsidRDefault="006E5C07" w:rsidP="006E5C07">
            <w:pPr>
              <w:spacing w:after="0" w:line="240" w:lineRule="auto"/>
              <w:rPr>
                <w:rFonts w:ascii="Calibri" w:eastAsia="Times New Roman" w:hAnsi="Calibri" w:cs="Calibri"/>
              </w:rPr>
            </w:pPr>
          </w:p>
        </w:tc>
        <w:tc>
          <w:tcPr>
            <w:tcW w:w="742" w:type="dxa"/>
            <w:tcMar>
              <w:top w:w="0" w:type="dxa"/>
              <w:left w:w="108" w:type="dxa"/>
              <w:bottom w:w="0" w:type="dxa"/>
              <w:right w:w="108" w:type="dxa"/>
            </w:tcMar>
            <w:hideMark/>
          </w:tcPr>
          <w:p w14:paraId="4E4541D3" w14:textId="77777777" w:rsidR="006E5C07" w:rsidRPr="006E5C07" w:rsidRDefault="006E5C07" w:rsidP="006E5C07">
            <w:pPr>
              <w:spacing w:after="0" w:line="240" w:lineRule="auto"/>
              <w:rPr>
                <w:rFonts w:ascii="Calibri" w:eastAsia="Times New Roman" w:hAnsi="Calibri" w:cs="Calibri"/>
              </w:rPr>
            </w:pPr>
          </w:p>
        </w:tc>
      </w:tr>
      <w:tr w:rsidR="006E5C07" w:rsidRPr="006E5C07" w14:paraId="6A40CB48" w14:textId="77777777" w:rsidTr="006E5C07">
        <w:tc>
          <w:tcPr>
            <w:tcW w:w="2105" w:type="dxa"/>
            <w:tcMar>
              <w:top w:w="0" w:type="dxa"/>
              <w:left w:w="108" w:type="dxa"/>
              <w:bottom w:w="0" w:type="dxa"/>
              <w:right w:w="108" w:type="dxa"/>
            </w:tcMar>
            <w:hideMark/>
          </w:tcPr>
          <w:p w14:paraId="297FA86B"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Finance costs - continuing operations</w:t>
            </w:r>
          </w:p>
        </w:tc>
        <w:tc>
          <w:tcPr>
            <w:tcW w:w="837" w:type="dxa"/>
            <w:tcMar>
              <w:top w:w="0" w:type="dxa"/>
              <w:left w:w="108" w:type="dxa"/>
              <w:bottom w:w="0" w:type="dxa"/>
              <w:right w:w="108" w:type="dxa"/>
            </w:tcMar>
            <w:hideMark/>
          </w:tcPr>
          <w:p w14:paraId="216CEAA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(27)</w:t>
            </w:r>
          </w:p>
        </w:tc>
        <w:tc>
          <w:tcPr>
            <w:tcW w:w="837" w:type="dxa"/>
            <w:tcMar>
              <w:top w:w="0" w:type="dxa"/>
              <w:left w:w="108" w:type="dxa"/>
              <w:bottom w:w="0" w:type="dxa"/>
              <w:right w:w="108" w:type="dxa"/>
            </w:tcMar>
            <w:hideMark/>
          </w:tcPr>
          <w:p w14:paraId="6A7239E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36" w:type="dxa"/>
            <w:tcMar>
              <w:top w:w="0" w:type="dxa"/>
              <w:left w:w="108" w:type="dxa"/>
              <w:bottom w:w="0" w:type="dxa"/>
              <w:right w:w="108" w:type="dxa"/>
            </w:tcMar>
            <w:hideMark/>
          </w:tcPr>
          <w:p w14:paraId="3B24C9E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46" w:type="dxa"/>
            <w:tcMar>
              <w:top w:w="0" w:type="dxa"/>
              <w:left w:w="108" w:type="dxa"/>
              <w:bottom w:w="0" w:type="dxa"/>
              <w:right w:w="108" w:type="dxa"/>
            </w:tcMar>
            <w:hideMark/>
          </w:tcPr>
          <w:p w14:paraId="0D61B0F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68" w:type="dxa"/>
            <w:tcMar>
              <w:top w:w="0" w:type="dxa"/>
              <w:left w:w="108" w:type="dxa"/>
              <w:bottom w:w="0" w:type="dxa"/>
              <w:right w:w="108" w:type="dxa"/>
            </w:tcMar>
            <w:hideMark/>
          </w:tcPr>
          <w:p w14:paraId="77CE4FE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27" w:type="dxa"/>
            <w:tcMar>
              <w:top w:w="0" w:type="dxa"/>
              <w:left w:w="108" w:type="dxa"/>
              <w:bottom w:w="0" w:type="dxa"/>
              <w:right w:w="108" w:type="dxa"/>
            </w:tcMar>
            <w:hideMark/>
          </w:tcPr>
          <w:p w14:paraId="40DCA49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42" w:type="dxa"/>
            <w:tcMar>
              <w:top w:w="0" w:type="dxa"/>
              <w:left w:w="108" w:type="dxa"/>
              <w:bottom w:w="0" w:type="dxa"/>
              <w:right w:w="108" w:type="dxa"/>
            </w:tcMar>
            <w:hideMark/>
          </w:tcPr>
          <w:p w14:paraId="6BA313F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(27)</w:t>
            </w:r>
          </w:p>
        </w:tc>
      </w:tr>
      <w:tr w:rsidR="006E5C07" w:rsidRPr="006E5C07" w14:paraId="79319E45" w14:textId="77777777" w:rsidTr="006E5C07">
        <w:tc>
          <w:tcPr>
            <w:tcW w:w="2105" w:type="dxa"/>
            <w:tcMar>
              <w:top w:w="0" w:type="dxa"/>
              <w:left w:w="108" w:type="dxa"/>
              <w:bottom w:w="0" w:type="dxa"/>
              <w:right w:w="108" w:type="dxa"/>
            </w:tcMar>
            <w:hideMark/>
          </w:tcPr>
          <w:p w14:paraId="52C374F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Finance income - discontinued operation</w:t>
            </w:r>
          </w:p>
        </w:tc>
        <w:tc>
          <w:tcPr>
            <w:tcW w:w="837" w:type="dxa"/>
            <w:tcMar>
              <w:top w:w="0" w:type="dxa"/>
              <w:left w:w="108" w:type="dxa"/>
              <w:bottom w:w="0" w:type="dxa"/>
              <w:right w:w="108" w:type="dxa"/>
            </w:tcMar>
            <w:hideMark/>
          </w:tcPr>
          <w:p w14:paraId="2F6B834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837" w:type="dxa"/>
            <w:tcMar>
              <w:top w:w="0" w:type="dxa"/>
              <w:left w:w="108" w:type="dxa"/>
              <w:bottom w:w="0" w:type="dxa"/>
              <w:right w:w="108" w:type="dxa"/>
            </w:tcMar>
            <w:hideMark/>
          </w:tcPr>
          <w:p w14:paraId="4A97CFD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36" w:type="dxa"/>
            <w:tcMar>
              <w:top w:w="0" w:type="dxa"/>
              <w:left w:w="108" w:type="dxa"/>
              <w:bottom w:w="0" w:type="dxa"/>
              <w:right w:w="108" w:type="dxa"/>
            </w:tcMar>
            <w:hideMark/>
          </w:tcPr>
          <w:p w14:paraId="3D0D933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46" w:type="dxa"/>
            <w:tcMar>
              <w:top w:w="0" w:type="dxa"/>
              <w:left w:w="108" w:type="dxa"/>
              <w:bottom w:w="0" w:type="dxa"/>
              <w:right w:w="108" w:type="dxa"/>
            </w:tcMar>
            <w:hideMark/>
          </w:tcPr>
          <w:p w14:paraId="4CD6A27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68" w:type="dxa"/>
            <w:tcMar>
              <w:top w:w="0" w:type="dxa"/>
              <w:left w:w="108" w:type="dxa"/>
              <w:bottom w:w="0" w:type="dxa"/>
              <w:right w:w="108" w:type="dxa"/>
            </w:tcMar>
            <w:hideMark/>
          </w:tcPr>
          <w:p w14:paraId="6122989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27" w:type="dxa"/>
            <w:tcMar>
              <w:top w:w="0" w:type="dxa"/>
              <w:left w:w="108" w:type="dxa"/>
              <w:bottom w:w="0" w:type="dxa"/>
              <w:right w:w="108" w:type="dxa"/>
            </w:tcMar>
            <w:hideMark/>
          </w:tcPr>
          <w:p w14:paraId="0746083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w:t>
            </w:r>
          </w:p>
        </w:tc>
        <w:tc>
          <w:tcPr>
            <w:tcW w:w="742" w:type="dxa"/>
            <w:tcMar>
              <w:top w:w="0" w:type="dxa"/>
              <w:left w:w="108" w:type="dxa"/>
              <w:bottom w:w="0" w:type="dxa"/>
              <w:right w:w="108" w:type="dxa"/>
            </w:tcMar>
            <w:hideMark/>
          </w:tcPr>
          <w:p w14:paraId="24B61AD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w:t>
            </w:r>
          </w:p>
        </w:tc>
      </w:tr>
      <w:tr w:rsidR="006E5C07" w:rsidRPr="006E5C07" w14:paraId="086D0B10" w14:textId="77777777" w:rsidTr="006E5C07">
        <w:tc>
          <w:tcPr>
            <w:tcW w:w="2105" w:type="dxa"/>
            <w:tcMar>
              <w:top w:w="0" w:type="dxa"/>
              <w:left w:w="108" w:type="dxa"/>
              <w:bottom w:w="0" w:type="dxa"/>
              <w:right w:w="108" w:type="dxa"/>
            </w:tcMar>
            <w:hideMark/>
          </w:tcPr>
          <w:p w14:paraId="7F91C548" w14:textId="77777777" w:rsidR="006E5C07" w:rsidRPr="006E5C07" w:rsidRDefault="006E5C07" w:rsidP="006E5C07">
            <w:pPr>
              <w:spacing w:after="0" w:line="240" w:lineRule="auto"/>
              <w:rPr>
                <w:rFonts w:ascii="Calibri" w:eastAsia="Times New Roman" w:hAnsi="Calibri" w:cs="Calibri"/>
              </w:rPr>
            </w:pPr>
          </w:p>
        </w:tc>
        <w:tc>
          <w:tcPr>
            <w:tcW w:w="837" w:type="dxa"/>
            <w:tcBorders>
              <w:top w:val="nil"/>
              <w:left w:val="nil"/>
              <w:bottom w:val="single" w:sz="8" w:space="0" w:color="auto"/>
              <w:right w:val="nil"/>
            </w:tcBorders>
            <w:tcMar>
              <w:top w:w="0" w:type="dxa"/>
              <w:left w:w="108" w:type="dxa"/>
              <w:bottom w:w="0" w:type="dxa"/>
              <w:right w:w="108" w:type="dxa"/>
            </w:tcMar>
            <w:hideMark/>
          </w:tcPr>
          <w:p w14:paraId="164A640E" w14:textId="77777777" w:rsidR="006E5C07" w:rsidRPr="006E5C07" w:rsidRDefault="006E5C07" w:rsidP="006E5C07">
            <w:pPr>
              <w:spacing w:after="0" w:line="240" w:lineRule="auto"/>
              <w:jc w:val="right"/>
              <w:rPr>
                <w:rFonts w:ascii="Calibri" w:eastAsia="Times New Roman" w:hAnsi="Calibri" w:cs="Calibri"/>
              </w:rPr>
            </w:pPr>
          </w:p>
        </w:tc>
        <w:tc>
          <w:tcPr>
            <w:tcW w:w="837" w:type="dxa"/>
            <w:tcBorders>
              <w:top w:val="nil"/>
              <w:left w:val="nil"/>
              <w:bottom w:val="single" w:sz="8" w:space="0" w:color="auto"/>
              <w:right w:val="nil"/>
            </w:tcBorders>
            <w:tcMar>
              <w:top w:w="0" w:type="dxa"/>
              <w:left w:w="108" w:type="dxa"/>
              <w:bottom w:w="0" w:type="dxa"/>
              <w:right w:w="108" w:type="dxa"/>
            </w:tcMar>
            <w:hideMark/>
          </w:tcPr>
          <w:p w14:paraId="3EED1B2B" w14:textId="77777777" w:rsidR="006E5C07" w:rsidRPr="006E5C07" w:rsidRDefault="006E5C07" w:rsidP="006E5C07">
            <w:pPr>
              <w:spacing w:after="0" w:line="240" w:lineRule="auto"/>
              <w:jc w:val="right"/>
              <w:rPr>
                <w:rFonts w:ascii="Calibri" w:eastAsia="Times New Roman" w:hAnsi="Calibri" w:cs="Calibri"/>
              </w:rPr>
            </w:pPr>
          </w:p>
        </w:tc>
        <w:tc>
          <w:tcPr>
            <w:tcW w:w="736" w:type="dxa"/>
            <w:tcBorders>
              <w:top w:val="nil"/>
              <w:left w:val="nil"/>
              <w:bottom w:val="single" w:sz="8" w:space="0" w:color="auto"/>
              <w:right w:val="nil"/>
            </w:tcBorders>
            <w:tcMar>
              <w:top w:w="0" w:type="dxa"/>
              <w:left w:w="108" w:type="dxa"/>
              <w:bottom w:w="0" w:type="dxa"/>
              <w:right w:w="108" w:type="dxa"/>
            </w:tcMar>
            <w:hideMark/>
          </w:tcPr>
          <w:p w14:paraId="29380F4C" w14:textId="77777777" w:rsidR="006E5C07" w:rsidRPr="006E5C07" w:rsidRDefault="006E5C07" w:rsidP="006E5C07">
            <w:pPr>
              <w:spacing w:after="0" w:line="240" w:lineRule="auto"/>
              <w:jc w:val="right"/>
              <w:rPr>
                <w:rFonts w:ascii="Calibri" w:eastAsia="Times New Roman" w:hAnsi="Calibri" w:cs="Calibri"/>
              </w:rPr>
            </w:pPr>
          </w:p>
        </w:tc>
        <w:tc>
          <w:tcPr>
            <w:tcW w:w="746" w:type="dxa"/>
            <w:tcBorders>
              <w:top w:val="nil"/>
              <w:left w:val="nil"/>
              <w:bottom w:val="single" w:sz="8" w:space="0" w:color="auto"/>
              <w:right w:val="nil"/>
            </w:tcBorders>
            <w:tcMar>
              <w:top w:w="0" w:type="dxa"/>
              <w:left w:w="108" w:type="dxa"/>
              <w:bottom w:w="0" w:type="dxa"/>
              <w:right w:w="108" w:type="dxa"/>
            </w:tcMar>
            <w:hideMark/>
          </w:tcPr>
          <w:p w14:paraId="66AFA5CE" w14:textId="77777777" w:rsidR="006E5C07" w:rsidRPr="006E5C07" w:rsidRDefault="006E5C07" w:rsidP="006E5C07">
            <w:pPr>
              <w:spacing w:after="0" w:line="240" w:lineRule="auto"/>
              <w:jc w:val="right"/>
              <w:rPr>
                <w:rFonts w:ascii="Calibri" w:eastAsia="Times New Roman" w:hAnsi="Calibri" w:cs="Calibri"/>
              </w:rPr>
            </w:pPr>
          </w:p>
        </w:tc>
        <w:tc>
          <w:tcPr>
            <w:tcW w:w="668" w:type="dxa"/>
            <w:tcBorders>
              <w:top w:val="nil"/>
              <w:left w:val="nil"/>
              <w:bottom w:val="single" w:sz="8" w:space="0" w:color="auto"/>
              <w:right w:val="nil"/>
            </w:tcBorders>
            <w:tcMar>
              <w:top w:w="0" w:type="dxa"/>
              <w:left w:w="108" w:type="dxa"/>
              <w:bottom w:w="0" w:type="dxa"/>
              <w:right w:w="108" w:type="dxa"/>
            </w:tcMar>
            <w:hideMark/>
          </w:tcPr>
          <w:p w14:paraId="7B78CFCF" w14:textId="77777777" w:rsidR="006E5C07" w:rsidRPr="006E5C07" w:rsidRDefault="006E5C07" w:rsidP="006E5C07">
            <w:pPr>
              <w:spacing w:after="0" w:line="240" w:lineRule="auto"/>
              <w:jc w:val="right"/>
              <w:rPr>
                <w:rFonts w:ascii="Calibri" w:eastAsia="Times New Roman" w:hAnsi="Calibri" w:cs="Calibri"/>
              </w:rPr>
            </w:pPr>
          </w:p>
        </w:tc>
        <w:tc>
          <w:tcPr>
            <w:tcW w:w="627" w:type="dxa"/>
            <w:tcBorders>
              <w:top w:val="nil"/>
              <w:left w:val="nil"/>
              <w:bottom w:val="single" w:sz="8" w:space="0" w:color="auto"/>
              <w:right w:val="nil"/>
            </w:tcBorders>
            <w:tcMar>
              <w:top w:w="0" w:type="dxa"/>
              <w:left w:w="108" w:type="dxa"/>
              <w:bottom w:w="0" w:type="dxa"/>
              <w:right w:w="108" w:type="dxa"/>
            </w:tcMar>
            <w:hideMark/>
          </w:tcPr>
          <w:p w14:paraId="64C941B1" w14:textId="77777777" w:rsidR="006E5C07" w:rsidRPr="006E5C07" w:rsidRDefault="006E5C07" w:rsidP="006E5C07">
            <w:pPr>
              <w:spacing w:after="0" w:line="240" w:lineRule="auto"/>
              <w:jc w:val="right"/>
              <w:rPr>
                <w:rFonts w:ascii="Calibri" w:eastAsia="Times New Roman" w:hAnsi="Calibri" w:cs="Calibri"/>
              </w:rPr>
            </w:pPr>
          </w:p>
        </w:tc>
        <w:tc>
          <w:tcPr>
            <w:tcW w:w="742" w:type="dxa"/>
            <w:tcBorders>
              <w:top w:val="nil"/>
              <w:left w:val="nil"/>
              <w:bottom w:val="single" w:sz="8" w:space="0" w:color="auto"/>
              <w:right w:val="nil"/>
            </w:tcBorders>
            <w:tcMar>
              <w:top w:w="0" w:type="dxa"/>
              <w:left w:w="108" w:type="dxa"/>
              <w:bottom w:w="0" w:type="dxa"/>
              <w:right w:w="108" w:type="dxa"/>
            </w:tcMar>
            <w:hideMark/>
          </w:tcPr>
          <w:p w14:paraId="17EA0922"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18C32E7F" w14:textId="77777777" w:rsidTr="006E5C07">
        <w:tc>
          <w:tcPr>
            <w:tcW w:w="2105" w:type="dxa"/>
            <w:tcMar>
              <w:top w:w="0" w:type="dxa"/>
              <w:left w:w="108" w:type="dxa"/>
              <w:bottom w:w="0" w:type="dxa"/>
              <w:right w:w="108" w:type="dxa"/>
            </w:tcMar>
            <w:hideMark/>
          </w:tcPr>
          <w:p w14:paraId="5A4E10A5"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Segment loss</w:t>
            </w:r>
          </w:p>
        </w:tc>
        <w:tc>
          <w:tcPr>
            <w:tcW w:w="837" w:type="dxa"/>
            <w:tcBorders>
              <w:top w:val="nil"/>
              <w:left w:val="nil"/>
              <w:bottom w:val="nil"/>
              <w:right w:val="nil"/>
            </w:tcBorders>
            <w:tcMar>
              <w:top w:w="0" w:type="dxa"/>
              <w:left w:w="108" w:type="dxa"/>
              <w:bottom w:w="0" w:type="dxa"/>
              <w:right w:w="108" w:type="dxa"/>
            </w:tcMar>
            <w:hideMark/>
          </w:tcPr>
          <w:p w14:paraId="7FE16DB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(765)</w:t>
            </w:r>
          </w:p>
        </w:tc>
        <w:tc>
          <w:tcPr>
            <w:tcW w:w="837" w:type="dxa"/>
            <w:tcBorders>
              <w:top w:val="nil"/>
              <w:left w:val="nil"/>
              <w:bottom w:val="nil"/>
              <w:right w:val="nil"/>
            </w:tcBorders>
            <w:tcMar>
              <w:top w:w="0" w:type="dxa"/>
              <w:left w:w="108" w:type="dxa"/>
              <w:bottom w:w="0" w:type="dxa"/>
              <w:right w:w="108" w:type="dxa"/>
            </w:tcMar>
            <w:hideMark/>
          </w:tcPr>
          <w:p w14:paraId="063C1022"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(196)</w:t>
            </w:r>
          </w:p>
        </w:tc>
        <w:tc>
          <w:tcPr>
            <w:tcW w:w="736" w:type="dxa"/>
            <w:tcBorders>
              <w:top w:val="nil"/>
              <w:left w:val="nil"/>
              <w:bottom w:val="nil"/>
              <w:right w:val="nil"/>
            </w:tcBorders>
            <w:tcMar>
              <w:top w:w="0" w:type="dxa"/>
              <w:left w:w="108" w:type="dxa"/>
              <w:bottom w:w="0" w:type="dxa"/>
              <w:right w:w="108" w:type="dxa"/>
            </w:tcMar>
            <w:hideMark/>
          </w:tcPr>
          <w:p w14:paraId="49439070"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(78)</w:t>
            </w:r>
          </w:p>
        </w:tc>
        <w:tc>
          <w:tcPr>
            <w:tcW w:w="746" w:type="dxa"/>
            <w:tcBorders>
              <w:top w:val="nil"/>
              <w:left w:val="nil"/>
              <w:bottom w:val="nil"/>
              <w:right w:val="nil"/>
            </w:tcBorders>
            <w:tcMar>
              <w:top w:w="0" w:type="dxa"/>
              <w:left w:w="108" w:type="dxa"/>
              <w:bottom w:w="0" w:type="dxa"/>
              <w:right w:w="108" w:type="dxa"/>
            </w:tcMar>
            <w:hideMark/>
          </w:tcPr>
          <w:p w14:paraId="4008F958"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(392)</w:t>
            </w:r>
          </w:p>
        </w:tc>
        <w:tc>
          <w:tcPr>
            <w:tcW w:w="668" w:type="dxa"/>
            <w:tcBorders>
              <w:top w:val="nil"/>
              <w:left w:val="nil"/>
              <w:bottom w:val="nil"/>
              <w:right w:val="nil"/>
            </w:tcBorders>
            <w:tcMar>
              <w:top w:w="0" w:type="dxa"/>
              <w:left w:w="108" w:type="dxa"/>
              <w:bottom w:w="0" w:type="dxa"/>
              <w:right w:w="108" w:type="dxa"/>
            </w:tcMar>
            <w:hideMark/>
          </w:tcPr>
          <w:p w14:paraId="33528AF2"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(2,170)</w:t>
            </w:r>
          </w:p>
        </w:tc>
        <w:tc>
          <w:tcPr>
            <w:tcW w:w="627" w:type="dxa"/>
            <w:tcBorders>
              <w:top w:val="nil"/>
              <w:left w:val="nil"/>
              <w:bottom w:val="nil"/>
              <w:right w:val="nil"/>
            </w:tcBorders>
            <w:tcMar>
              <w:top w:w="0" w:type="dxa"/>
              <w:left w:w="108" w:type="dxa"/>
              <w:bottom w:w="0" w:type="dxa"/>
              <w:right w:w="108" w:type="dxa"/>
            </w:tcMar>
            <w:hideMark/>
          </w:tcPr>
          <w:p w14:paraId="00A947ED"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(512)</w:t>
            </w:r>
          </w:p>
        </w:tc>
        <w:tc>
          <w:tcPr>
            <w:tcW w:w="742" w:type="dxa"/>
            <w:tcBorders>
              <w:top w:val="nil"/>
              <w:left w:val="nil"/>
              <w:bottom w:val="nil"/>
              <w:right w:val="nil"/>
            </w:tcBorders>
            <w:tcMar>
              <w:top w:w="0" w:type="dxa"/>
              <w:left w:w="108" w:type="dxa"/>
              <w:bottom w:w="0" w:type="dxa"/>
              <w:right w:w="108" w:type="dxa"/>
            </w:tcMar>
            <w:hideMark/>
          </w:tcPr>
          <w:p w14:paraId="7938F2AF"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(4,113)</w:t>
            </w:r>
          </w:p>
        </w:tc>
      </w:tr>
      <w:tr w:rsidR="006E5C07" w:rsidRPr="006E5C07" w14:paraId="001B69B3" w14:textId="77777777" w:rsidTr="006E5C07">
        <w:tc>
          <w:tcPr>
            <w:tcW w:w="2105" w:type="dxa"/>
            <w:tcMar>
              <w:top w:w="0" w:type="dxa"/>
              <w:left w:w="108" w:type="dxa"/>
              <w:bottom w:w="0" w:type="dxa"/>
              <w:right w:w="108" w:type="dxa"/>
            </w:tcMar>
            <w:hideMark/>
          </w:tcPr>
          <w:p w14:paraId="12DB7403"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before taxation</w:t>
            </w:r>
          </w:p>
        </w:tc>
        <w:tc>
          <w:tcPr>
            <w:tcW w:w="837" w:type="dxa"/>
            <w:tcBorders>
              <w:top w:val="nil"/>
              <w:left w:val="nil"/>
              <w:bottom w:val="single" w:sz="12" w:space="0" w:color="auto"/>
              <w:right w:val="nil"/>
            </w:tcBorders>
            <w:tcMar>
              <w:top w:w="0" w:type="dxa"/>
              <w:left w:w="108" w:type="dxa"/>
              <w:bottom w:w="0" w:type="dxa"/>
              <w:right w:w="108" w:type="dxa"/>
            </w:tcMar>
            <w:hideMark/>
          </w:tcPr>
          <w:p w14:paraId="07FE6193" w14:textId="77777777" w:rsidR="006E5C07" w:rsidRPr="006E5C07" w:rsidRDefault="006E5C07" w:rsidP="006E5C07">
            <w:pPr>
              <w:spacing w:after="0" w:line="240" w:lineRule="auto"/>
              <w:jc w:val="right"/>
              <w:rPr>
                <w:rFonts w:ascii="Calibri" w:eastAsia="Times New Roman" w:hAnsi="Calibri" w:cs="Calibri"/>
                <w:b/>
                <w:bCs/>
              </w:rPr>
            </w:pPr>
          </w:p>
        </w:tc>
        <w:tc>
          <w:tcPr>
            <w:tcW w:w="837" w:type="dxa"/>
            <w:tcBorders>
              <w:top w:val="nil"/>
              <w:left w:val="nil"/>
              <w:bottom w:val="single" w:sz="12" w:space="0" w:color="auto"/>
              <w:right w:val="nil"/>
            </w:tcBorders>
            <w:tcMar>
              <w:top w:w="0" w:type="dxa"/>
              <w:left w:w="108" w:type="dxa"/>
              <w:bottom w:w="0" w:type="dxa"/>
              <w:right w:w="108" w:type="dxa"/>
            </w:tcMar>
            <w:hideMark/>
          </w:tcPr>
          <w:p w14:paraId="44F1E6A5" w14:textId="77777777" w:rsidR="006E5C07" w:rsidRPr="006E5C07" w:rsidRDefault="006E5C07" w:rsidP="006E5C07">
            <w:pPr>
              <w:spacing w:after="0" w:line="240" w:lineRule="auto"/>
              <w:jc w:val="right"/>
              <w:rPr>
                <w:rFonts w:ascii="Calibri" w:eastAsia="Times New Roman" w:hAnsi="Calibri" w:cs="Calibri"/>
                <w:b/>
                <w:bCs/>
              </w:rPr>
            </w:pPr>
          </w:p>
        </w:tc>
        <w:tc>
          <w:tcPr>
            <w:tcW w:w="736" w:type="dxa"/>
            <w:tcBorders>
              <w:top w:val="nil"/>
              <w:left w:val="nil"/>
              <w:bottom w:val="single" w:sz="12" w:space="0" w:color="auto"/>
              <w:right w:val="nil"/>
            </w:tcBorders>
            <w:tcMar>
              <w:top w:w="0" w:type="dxa"/>
              <w:left w:w="108" w:type="dxa"/>
              <w:bottom w:w="0" w:type="dxa"/>
              <w:right w:w="108" w:type="dxa"/>
            </w:tcMar>
            <w:hideMark/>
          </w:tcPr>
          <w:p w14:paraId="0F2A2229" w14:textId="77777777" w:rsidR="006E5C07" w:rsidRPr="006E5C07" w:rsidRDefault="006E5C07" w:rsidP="006E5C07">
            <w:pPr>
              <w:spacing w:after="0" w:line="240" w:lineRule="auto"/>
              <w:jc w:val="right"/>
              <w:rPr>
                <w:rFonts w:ascii="Calibri" w:eastAsia="Times New Roman" w:hAnsi="Calibri" w:cs="Calibri"/>
                <w:b/>
                <w:bCs/>
              </w:rPr>
            </w:pPr>
          </w:p>
        </w:tc>
        <w:tc>
          <w:tcPr>
            <w:tcW w:w="746" w:type="dxa"/>
            <w:tcBorders>
              <w:top w:val="nil"/>
              <w:left w:val="nil"/>
              <w:bottom w:val="single" w:sz="12" w:space="0" w:color="auto"/>
              <w:right w:val="nil"/>
            </w:tcBorders>
            <w:tcMar>
              <w:top w:w="0" w:type="dxa"/>
              <w:left w:w="108" w:type="dxa"/>
              <w:bottom w:w="0" w:type="dxa"/>
              <w:right w:w="108" w:type="dxa"/>
            </w:tcMar>
            <w:hideMark/>
          </w:tcPr>
          <w:p w14:paraId="5E6D26AE" w14:textId="77777777" w:rsidR="006E5C07" w:rsidRPr="006E5C07" w:rsidRDefault="006E5C07" w:rsidP="006E5C07">
            <w:pPr>
              <w:spacing w:after="0" w:line="240" w:lineRule="auto"/>
              <w:jc w:val="right"/>
              <w:rPr>
                <w:rFonts w:ascii="Calibri" w:eastAsia="Times New Roman" w:hAnsi="Calibri" w:cs="Calibri"/>
                <w:b/>
                <w:bCs/>
              </w:rPr>
            </w:pPr>
          </w:p>
        </w:tc>
        <w:tc>
          <w:tcPr>
            <w:tcW w:w="668" w:type="dxa"/>
            <w:tcBorders>
              <w:top w:val="nil"/>
              <w:left w:val="nil"/>
              <w:bottom w:val="single" w:sz="12" w:space="0" w:color="auto"/>
              <w:right w:val="nil"/>
            </w:tcBorders>
            <w:tcMar>
              <w:top w:w="0" w:type="dxa"/>
              <w:left w:w="108" w:type="dxa"/>
              <w:bottom w:w="0" w:type="dxa"/>
              <w:right w:w="108" w:type="dxa"/>
            </w:tcMar>
            <w:hideMark/>
          </w:tcPr>
          <w:p w14:paraId="1C71CC5C" w14:textId="77777777" w:rsidR="006E5C07" w:rsidRPr="006E5C07" w:rsidRDefault="006E5C07" w:rsidP="006E5C07">
            <w:pPr>
              <w:spacing w:after="0" w:line="240" w:lineRule="auto"/>
              <w:jc w:val="right"/>
              <w:rPr>
                <w:rFonts w:ascii="Calibri" w:eastAsia="Times New Roman" w:hAnsi="Calibri" w:cs="Calibri"/>
                <w:b/>
                <w:bCs/>
              </w:rPr>
            </w:pPr>
          </w:p>
        </w:tc>
        <w:tc>
          <w:tcPr>
            <w:tcW w:w="627" w:type="dxa"/>
            <w:tcBorders>
              <w:top w:val="nil"/>
              <w:left w:val="nil"/>
              <w:bottom w:val="single" w:sz="12" w:space="0" w:color="auto"/>
              <w:right w:val="nil"/>
            </w:tcBorders>
            <w:tcMar>
              <w:top w:w="0" w:type="dxa"/>
              <w:left w:w="108" w:type="dxa"/>
              <w:bottom w:w="0" w:type="dxa"/>
              <w:right w:w="108" w:type="dxa"/>
            </w:tcMar>
            <w:hideMark/>
          </w:tcPr>
          <w:p w14:paraId="54B9B585" w14:textId="77777777" w:rsidR="006E5C07" w:rsidRPr="006E5C07" w:rsidRDefault="006E5C07" w:rsidP="006E5C07">
            <w:pPr>
              <w:spacing w:after="0" w:line="240" w:lineRule="auto"/>
              <w:jc w:val="right"/>
              <w:rPr>
                <w:rFonts w:ascii="Calibri" w:eastAsia="Times New Roman" w:hAnsi="Calibri" w:cs="Calibri"/>
                <w:b/>
                <w:bCs/>
              </w:rPr>
            </w:pPr>
          </w:p>
        </w:tc>
        <w:tc>
          <w:tcPr>
            <w:tcW w:w="742" w:type="dxa"/>
            <w:tcBorders>
              <w:top w:val="nil"/>
              <w:left w:val="nil"/>
              <w:bottom w:val="single" w:sz="12" w:space="0" w:color="auto"/>
              <w:right w:val="nil"/>
            </w:tcBorders>
            <w:tcMar>
              <w:top w:w="0" w:type="dxa"/>
              <w:left w:w="108" w:type="dxa"/>
              <w:bottom w:w="0" w:type="dxa"/>
              <w:right w:w="108" w:type="dxa"/>
            </w:tcMar>
            <w:hideMark/>
          </w:tcPr>
          <w:p w14:paraId="73758FD2" w14:textId="77777777" w:rsidR="006E5C07" w:rsidRPr="006E5C07" w:rsidRDefault="006E5C07" w:rsidP="006E5C07">
            <w:pPr>
              <w:spacing w:after="0" w:line="240" w:lineRule="auto"/>
              <w:jc w:val="right"/>
              <w:rPr>
                <w:rFonts w:ascii="Calibri" w:eastAsia="Times New Roman" w:hAnsi="Calibri" w:cs="Calibri"/>
                <w:b/>
                <w:bCs/>
              </w:rPr>
            </w:pPr>
          </w:p>
        </w:tc>
      </w:tr>
    </w:tbl>
    <w:p w14:paraId="36B295A0" w14:textId="77777777" w:rsidR="006E5C07" w:rsidRPr="006E5C07" w:rsidRDefault="006E5C07" w:rsidP="006E5C07">
      <w:pPr>
        <w:spacing w:line="253" w:lineRule="atLeast"/>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2149"/>
        <w:gridCol w:w="1006"/>
        <w:gridCol w:w="1006"/>
        <w:gridCol w:w="906"/>
        <w:gridCol w:w="967"/>
        <w:gridCol w:w="807"/>
        <w:gridCol w:w="916"/>
      </w:tblGrid>
      <w:tr w:rsidR="006E5C07" w:rsidRPr="006E5C07" w14:paraId="21F6BC27" w14:textId="77777777" w:rsidTr="006E5C07">
        <w:tc>
          <w:tcPr>
            <w:tcW w:w="2149" w:type="dxa"/>
            <w:tcMar>
              <w:top w:w="0" w:type="dxa"/>
              <w:left w:w="108" w:type="dxa"/>
              <w:bottom w:w="0" w:type="dxa"/>
              <w:right w:w="108" w:type="dxa"/>
            </w:tcMar>
            <w:hideMark/>
          </w:tcPr>
          <w:p w14:paraId="7C22EB4C" w14:textId="77777777" w:rsidR="006E5C07" w:rsidRPr="006E5C07" w:rsidRDefault="006E5C07" w:rsidP="006E5C07">
            <w:pPr>
              <w:spacing w:after="0" w:line="240" w:lineRule="auto"/>
              <w:rPr>
                <w:rFonts w:ascii="Calibri" w:eastAsia="Times New Roman" w:hAnsi="Calibri" w:cs="Calibri"/>
                <w:u w:val="single"/>
              </w:rPr>
            </w:pPr>
            <w:r w:rsidRPr="006E5C07">
              <w:rPr>
                <w:rFonts w:ascii="Gill Sans MT" w:eastAsia="Times New Roman" w:hAnsi="Gill Sans MT" w:cs="Calibri"/>
                <w:sz w:val="18"/>
                <w:szCs w:val="18"/>
                <w:u w:val="single"/>
              </w:rPr>
              <w:t>Segment assets and</w:t>
            </w:r>
          </w:p>
        </w:tc>
        <w:tc>
          <w:tcPr>
            <w:tcW w:w="992" w:type="dxa"/>
            <w:tcMar>
              <w:top w:w="0" w:type="dxa"/>
              <w:left w:w="108" w:type="dxa"/>
              <w:bottom w:w="0" w:type="dxa"/>
              <w:right w:w="108" w:type="dxa"/>
            </w:tcMar>
            <w:hideMark/>
          </w:tcPr>
          <w:p w14:paraId="62A9B87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Promotion</w:t>
            </w:r>
          </w:p>
        </w:tc>
        <w:tc>
          <w:tcPr>
            <w:tcW w:w="993" w:type="dxa"/>
            <w:tcMar>
              <w:top w:w="0" w:type="dxa"/>
              <w:left w:w="108" w:type="dxa"/>
              <w:bottom w:w="0" w:type="dxa"/>
              <w:right w:w="108" w:type="dxa"/>
            </w:tcMar>
            <w:hideMark/>
          </w:tcPr>
          <w:p w14:paraId="2416C92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Promotion</w:t>
            </w:r>
          </w:p>
        </w:tc>
        <w:tc>
          <w:tcPr>
            <w:tcW w:w="906" w:type="dxa"/>
            <w:tcMar>
              <w:top w:w="0" w:type="dxa"/>
              <w:left w:w="108" w:type="dxa"/>
              <w:bottom w:w="0" w:type="dxa"/>
              <w:right w:w="108" w:type="dxa"/>
            </w:tcMar>
            <w:hideMark/>
          </w:tcPr>
          <w:p w14:paraId="192FDD2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Retail</w:t>
            </w:r>
          </w:p>
        </w:tc>
        <w:tc>
          <w:tcPr>
            <w:tcW w:w="967" w:type="dxa"/>
            <w:tcMar>
              <w:top w:w="0" w:type="dxa"/>
              <w:left w:w="108" w:type="dxa"/>
              <w:bottom w:w="0" w:type="dxa"/>
              <w:right w:w="108" w:type="dxa"/>
            </w:tcMar>
            <w:hideMark/>
          </w:tcPr>
          <w:p w14:paraId="5C43B79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Retail</w:t>
            </w:r>
          </w:p>
        </w:tc>
        <w:tc>
          <w:tcPr>
            <w:tcW w:w="807" w:type="dxa"/>
            <w:tcMar>
              <w:top w:w="0" w:type="dxa"/>
              <w:left w:w="108" w:type="dxa"/>
              <w:bottom w:w="0" w:type="dxa"/>
              <w:right w:w="108" w:type="dxa"/>
            </w:tcMar>
            <w:hideMark/>
          </w:tcPr>
          <w:p w14:paraId="2CE641C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Other</w:t>
            </w:r>
          </w:p>
        </w:tc>
        <w:tc>
          <w:tcPr>
            <w:tcW w:w="916" w:type="dxa"/>
            <w:tcMar>
              <w:top w:w="0" w:type="dxa"/>
              <w:left w:w="108" w:type="dxa"/>
              <w:bottom w:w="0" w:type="dxa"/>
              <w:right w:w="108" w:type="dxa"/>
            </w:tcMar>
            <w:hideMark/>
          </w:tcPr>
          <w:p w14:paraId="1876D5D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Group</w:t>
            </w:r>
          </w:p>
        </w:tc>
      </w:tr>
      <w:tr w:rsidR="006E5C07" w:rsidRPr="006E5C07" w14:paraId="79B03F18" w14:textId="77777777" w:rsidTr="006E5C07">
        <w:tc>
          <w:tcPr>
            <w:tcW w:w="2149" w:type="dxa"/>
            <w:tcMar>
              <w:top w:w="0" w:type="dxa"/>
              <w:left w:w="108" w:type="dxa"/>
              <w:bottom w:w="0" w:type="dxa"/>
              <w:right w:w="108" w:type="dxa"/>
            </w:tcMar>
            <w:hideMark/>
          </w:tcPr>
          <w:p w14:paraId="119CE13D" w14:textId="77777777" w:rsidR="006E5C07" w:rsidRPr="006E5C07" w:rsidRDefault="006E5C07" w:rsidP="006E5C07">
            <w:pPr>
              <w:spacing w:after="0" w:line="240" w:lineRule="auto"/>
              <w:rPr>
                <w:rFonts w:ascii="Calibri" w:eastAsia="Times New Roman" w:hAnsi="Calibri" w:cs="Calibri"/>
                <w:u w:val="single"/>
              </w:rPr>
            </w:pPr>
            <w:r w:rsidRPr="006E5C07">
              <w:rPr>
                <w:rFonts w:ascii="Gill Sans MT" w:eastAsia="Times New Roman" w:hAnsi="Gill Sans MT" w:cs="Calibri"/>
                <w:sz w:val="18"/>
                <w:szCs w:val="18"/>
                <w:u w:val="single"/>
              </w:rPr>
              <w:t>Liabilities</w:t>
            </w:r>
          </w:p>
        </w:tc>
        <w:tc>
          <w:tcPr>
            <w:tcW w:w="992" w:type="dxa"/>
            <w:tcMar>
              <w:top w:w="0" w:type="dxa"/>
              <w:left w:w="108" w:type="dxa"/>
              <w:bottom w:w="0" w:type="dxa"/>
              <w:right w:w="108" w:type="dxa"/>
            </w:tcMar>
            <w:hideMark/>
          </w:tcPr>
          <w:p w14:paraId="4A79960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UK</w:t>
            </w:r>
          </w:p>
        </w:tc>
        <w:tc>
          <w:tcPr>
            <w:tcW w:w="993" w:type="dxa"/>
            <w:tcMar>
              <w:top w:w="0" w:type="dxa"/>
              <w:left w:w="108" w:type="dxa"/>
              <w:bottom w:w="0" w:type="dxa"/>
              <w:right w:w="108" w:type="dxa"/>
            </w:tcMar>
            <w:hideMark/>
          </w:tcPr>
          <w:p w14:paraId="357EA06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Germany</w:t>
            </w:r>
          </w:p>
        </w:tc>
        <w:tc>
          <w:tcPr>
            <w:tcW w:w="906" w:type="dxa"/>
            <w:tcMar>
              <w:top w:w="0" w:type="dxa"/>
              <w:left w:w="108" w:type="dxa"/>
              <w:bottom w:w="0" w:type="dxa"/>
              <w:right w:w="108" w:type="dxa"/>
            </w:tcMar>
            <w:hideMark/>
          </w:tcPr>
          <w:p w14:paraId="55DD73C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UK</w:t>
            </w:r>
          </w:p>
        </w:tc>
        <w:tc>
          <w:tcPr>
            <w:tcW w:w="967" w:type="dxa"/>
            <w:tcMar>
              <w:top w:w="0" w:type="dxa"/>
              <w:left w:w="108" w:type="dxa"/>
              <w:bottom w:w="0" w:type="dxa"/>
              <w:right w:w="108" w:type="dxa"/>
            </w:tcMar>
            <w:hideMark/>
          </w:tcPr>
          <w:p w14:paraId="2BAF6EA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Germany</w:t>
            </w:r>
          </w:p>
        </w:tc>
        <w:tc>
          <w:tcPr>
            <w:tcW w:w="807" w:type="dxa"/>
            <w:tcMar>
              <w:top w:w="0" w:type="dxa"/>
              <w:left w:w="108" w:type="dxa"/>
              <w:bottom w:w="0" w:type="dxa"/>
              <w:right w:w="108" w:type="dxa"/>
            </w:tcMar>
            <w:hideMark/>
          </w:tcPr>
          <w:p w14:paraId="043438C9" w14:textId="77777777" w:rsidR="006E5C07" w:rsidRPr="006E5C07" w:rsidRDefault="006E5C07" w:rsidP="006E5C07">
            <w:pPr>
              <w:spacing w:after="0" w:line="240" w:lineRule="auto"/>
              <w:jc w:val="right"/>
              <w:rPr>
                <w:rFonts w:ascii="Calibri" w:eastAsia="Times New Roman" w:hAnsi="Calibri" w:cs="Calibri"/>
              </w:rPr>
            </w:pPr>
          </w:p>
        </w:tc>
        <w:tc>
          <w:tcPr>
            <w:tcW w:w="916" w:type="dxa"/>
            <w:tcMar>
              <w:top w:w="0" w:type="dxa"/>
              <w:left w:w="108" w:type="dxa"/>
              <w:bottom w:w="0" w:type="dxa"/>
              <w:right w:w="108" w:type="dxa"/>
            </w:tcMar>
            <w:hideMark/>
          </w:tcPr>
          <w:p w14:paraId="62733B21"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65A73B2E" w14:textId="77777777" w:rsidTr="006E5C07">
        <w:tc>
          <w:tcPr>
            <w:tcW w:w="2149" w:type="dxa"/>
            <w:tcMar>
              <w:top w:w="0" w:type="dxa"/>
              <w:left w:w="108" w:type="dxa"/>
              <w:bottom w:w="0" w:type="dxa"/>
              <w:right w:w="108" w:type="dxa"/>
            </w:tcMar>
            <w:hideMark/>
          </w:tcPr>
          <w:p w14:paraId="79718150" w14:textId="77777777" w:rsidR="006E5C07" w:rsidRPr="006E5C07" w:rsidRDefault="006E5C07" w:rsidP="006E5C07">
            <w:pPr>
              <w:spacing w:after="0" w:line="240" w:lineRule="auto"/>
              <w:rPr>
                <w:rFonts w:ascii="Calibri" w:eastAsia="Times New Roman" w:hAnsi="Calibri" w:cs="Calibri"/>
                <w:u w:val="single"/>
              </w:rPr>
            </w:pPr>
            <w:r w:rsidRPr="006E5C07">
              <w:rPr>
                <w:rFonts w:ascii="Gill Sans MT" w:eastAsia="Times New Roman" w:hAnsi="Gill Sans MT" w:cs="Calibri"/>
                <w:sz w:val="18"/>
                <w:szCs w:val="18"/>
                <w:u w:val="single"/>
              </w:rPr>
              <w:t>as at 31 December '20</w:t>
            </w:r>
          </w:p>
        </w:tc>
        <w:tc>
          <w:tcPr>
            <w:tcW w:w="992" w:type="dxa"/>
            <w:tcMar>
              <w:top w:w="0" w:type="dxa"/>
              <w:left w:w="108" w:type="dxa"/>
              <w:bottom w:w="0" w:type="dxa"/>
              <w:right w:w="108" w:type="dxa"/>
            </w:tcMar>
            <w:hideMark/>
          </w:tcPr>
          <w:p w14:paraId="127AD52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993" w:type="dxa"/>
            <w:tcMar>
              <w:top w:w="0" w:type="dxa"/>
              <w:left w:w="108" w:type="dxa"/>
              <w:bottom w:w="0" w:type="dxa"/>
              <w:right w:w="108" w:type="dxa"/>
            </w:tcMar>
            <w:hideMark/>
          </w:tcPr>
          <w:p w14:paraId="0D50BD3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906" w:type="dxa"/>
            <w:tcMar>
              <w:top w:w="0" w:type="dxa"/>
              <w:left w:w="108" w:type="dxa"/>
              <w:bottom w:w="0" w:type="dxa"/>
              <w:right w:w="108" w:type="dxa"/>
            </w:tcMar>
            <w:hideMark/>
          </w:tcPr>
          <w:p w14:paraId="6D78DF9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967" w:type="dxa"/>
            <w:tcMar>
              <w:top w:w="0" w:type="dxa"/>
              <w:left w:w="108" w:type="dxa"/>
              <w:bottom w:w="0" w:type="dxa"/>
              <w:right w:w="108" w:type="dxa"/>
            </w:tcMar>
            <w:hideMark/>
          </w:tcPr>
          <w:p w14:paraId="5125BB0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807" w:type="dxa"/>
            <w:tcMar>
              <w:top w:w="0" w:type="dxa"/>
              <w:left w:w="108" w:type="dxa"/>
              <w:bottom w:w="0" w:type="dxa"/>
              <w:right w:w="108" w:type="dxa"/>
            </w:tcMar>
            <w:hideMark/>
          </w:tcPr>
          <w:p w14:paraId="2F84F76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916" w:type="dxa"/>
            <w:tcMar>
              <w:top w:w="0" w:type="dxa"/>
              <w:left w:w="108" w:type="dxa"/>
              <w:bottom w:w="0" w:type="dxa"/>
              <w:right w:w="108" w:type="dxa"/>
            </w:tcMar>
            <w:hideMark/>
          </w:tcPr>
          <w:p w14:paraId="1B13E79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1277829B" w14:textId="77777777" w:rsidTr="006E5C07">
        <w:tc>
          <w:tcPr>
            <w:tcW w:w="2149" w:type="dxa"/>
            <w:tcMar>
              <w:top w:w="0" w:type="dxa"/>
              <w:left w:w="108" w:type="dxa"/>
              <w:bottom w:w="0" w:type="dxa"/>
              <w:right w:w="108" w:type="dxa"/>
            </w:tcMar>
            <w:hideMark/>
          </w:tcPr>
          <w:p w14:paraId="5B963292" w14:textId="77777777" w:rsidR="006E5C07" w:rsidRPr="006E5C07" w:rsidRDefault="006E5C07" w:rsidP="006E5C07">
            <w:pPr>
              <w:spacing w:after="0" w:line="240" w:lineRule="auto"/>
              <w:rPr>
                <w:rFonts w:ascii="Calibri" w:eastAsia="Times New Roman" w:hAnsi="Calibri" w:cs="Calibri"/>
              </w:rPr>
            </w:pPr>
          </w:p>
        </w:tc>
        <w:tc>
          <w:tcPr>
            <w:tcW w:w="992" w:type="dxa"/>
            <w:tcMar>
              <w:top w:w="0" w:type="dxa"/>
              <w:left w:w="108" w:type="dxa"/>
              <w:bottom w:w="0" w:type="dxa"/>
              <w:right w:w="108" w:type="dxa"/>
            </w:tcMar>
            <w:hideMark/>
          </w:tcPr>
          <w:p w14:paraId="2C1EE33B" w14:textId="77777777" w:rsidR="006E5C07" w:rsidRPr="006E5C07" w:rsidRDefault="006E5C07" w:rsidP="006E5C07">
            <w:pPr>
              <w:spacing w:after="0" w:line="240" w:lineRule="auto"/>
              <w:jc w:val="right"/>
              <w:rPr>
                <w:rFonts w:ascii="Calibri" w:eastAsia="Times New Roman" w:hAnsi="Calibri" w:cs="Calibri"/>
              </w:rPr>
            </w:pPr>
          </w:p>
        </w:tc>
        <w:tc>
          <w:tcPr>
            <w:tcW w:w="993" w:type="dxa"/>
            <w:tcMar>
              <w:top w:w="0" w:type="dxa"/>
              <w:left w:w="108" w:type="dxa"/>
              <w:bottom w:w="0" w:type="dxa"/>
              <w:right w:w="108" w:type="dxa"/>
            </w:tcMar>
            <w:hideMark/>
          </w:tcPr>
          <w:p w14:paraId="38002042" w14:textId="77777777" w:rsidR="006E5C07" w:rsidRPr="006E5C07" w:rsidRDefault="006E5C07" w:rsidP="006E5C07">
            <w:pPr>
              <w:spacing w:after="0" w:line="240" w:lineRule="auto"/>
              <w:jc w:val="right"/>
              <w:rPr>
                <w:rFonts w:ascii="Calibri" w:eastAsia="Times New Roman" w:hAnsi="Calibri" w:cs="Calibri"/>
              </w:rPr>
            </w:pPr>
          </w:p>
        </w:tc>
        <w:tc>
          <w:tcPr>
            <w:tcW w:w="906" w:type="dxa"/>
            <w:tcMar>
              <w:top w:w="0" w:type="dxa"/>
              <w:left w:w="108" w:type="dxa"/>
              <w:bottom w:w="0" w:type="dxa"/>
              <w:right w:w="108" w:type="dxa"/>
            </w:tcMar>
            <w:hideMark/>
          </w:tcPr>
          <w:p w14:paraId="77E244F0" w14:textId="77777777" w:rsidR="006E5C07" w:rsidRPr="006E5C07" w:rsidRDefault="006E5C07" w:rsidP="006E5C07">
            <w:pPr>
              <w:spacing w:after="0" w:line="240" w:lineRule="auto"/>
              <w:jc w:val="right"/>
              <w:rPr>
                <w:rFonts w:ascii="Calibri" w:eastAsia="Times New Roman" w:hAnsi="Calibri" w:cs="Calibri"/>
              </w:rPr>
            </w:pPr>
          </w:p>
        </w:tc>
        <w:tc>
          <w:tcPr>
            <w:tcW w:w="967" w:type="dxa"/>
            <w:tcMar>
              <w:top w:w="0" w:type="dxa"/>
              <w:left w:w="108" w:type="dxa"/>
              <w:bottom w:w="0" w:type="dxa"/>
              <w:right w:w="108" w:type="dxa"/>
            </w:tcMar>
            <w:hideMark/>
          </w:tcPr>
          <w:p w14:paraId="3E7B9789" w14:textId="77777777" w:rsidR="006E5C07" w:rsidRPr="006E5C07" w:rsidRDefault="006E5C07" w:rsidP="006E5C07">
            <w:pPr>
              <w:spacing w:after="0" w:line="240" w:lineRule="auto"/>
              <w:jc w:val="right"/>
              <w:rPr>
                <w:rFonts w:ascii="Calibri" w:eastAsia="Times New Roman" w:hAnsi="Calibri" w:cs="Calibri"/>
              </w:rPr>
            </w:pPr>
          </w:p>
        </w:tc>
        <w:tc>
          <w:tcPr>
            <w:tcW w:w="807" w:type="dxa"/>
            <w:tcMar>
              <w:top w:w="0" w:type="dxa"/>
              <w:left w:w="108" w:type="dxa"/>
              <w:bottom w:w="0" w:type="dxa"/>
              <w:right w:w="108" w:type="dxa"/>
            </w:tcMar>
            <w:hideMark/>
          </w:tcPr>
          <w:p w14:paraId="26712F6C" w14:textId="77777777" w:rsidR="006E5C07" w:rsidRPr="006E5C07" w:rsidRDefault="006E5C07" w:rsidP="006E5C07">
            <w:pPr>
              <w:spacing w:after="0" w:line="240" w:lineRule="auto"/>
              <w:jc w:val="right"/>
              <w:rPr>
                <w:rFonts w:ascii="Calibri" w:eastAsia="Times New Roman" w:hAnsi="Calibri" w:cs="Calibri"/>
              </w:rPr>
            </w:pPr>
          </w:p>
        </w:tc>
        <w:tc>
          <w:tcPr>
            <w:tcW w:w="916" w:type="dxa"/>
            <w:tcMar>
              <w:top w:w="0" w:type="dxa"/>
              <w:left w:w="108" w:type="dxa"/>
              <w:bottom w:w="0" w:type="dxa"/>
              <w:right w:w="108" w:type="dxa"/>
            </w:tcMar>
            <w:hideMark/>
          </w:tcPr>
          <w:p w14:paraId="5F35151A"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2AF009BE" w14:textId="77777777" w:rsidTr="006E5C07">
        <w:tc>
          <w:tcPr>
            <w:tcW w:w="2149" w:type="dxa"/>
            <w:tcMar>
              <w:top w:w="0" w:type="dxa"/>
              <w:left w:w="108" w:type="dxa"/>
              <w:bottom w:w="0" w:type="dxa"/>
              <w:right w:w="108" w:type="dxa"/>
            </w:tcMar>
            <w:hideMark/>
          </w:tcPr>
          <w:p w14:paraId="0DDA26F7"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Total segment assets</w:t>
            </w:r>
          </w:p>
        </w:tc>
        <w:tc>
          <w:tcPr>
            <w:tcW w:w="992" w:type="dxa"/>
            <w:tcMar>
              <w:top w:w="0" w:type="dxa"/>
              <w:left w:w="108" w:type="dxa"/>
              <w:bottom w:w="0" w:type="dxa"/>
              <w:right w:w="108" w:type="dxa"/>
            </w:tcMar>
            <w:hideMark/>
          </w:tcPr>
          <w:p w14:paraId="05157D1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5,327</w:t>
            </w:r>
          </w:p>
        </w:tc>
        <w:tc>
          <w:tcPr>
            <w:tcW w:w="993" w:type="dxa"/>
            <w:tcMar>
              <w:top w:w="0" w:type="dxa"/>
              <w:left w:w="108" w:type="dxa"/>
              <w:bottom w:w="0" w:type="dxa"/>
              <w:right w:w="108" w:type="dxa"/>
            </w:tcMar>
            <w:hideMark/>
          </w:tcPr>
          <w:p w14:paraId="246DA1E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89</w:t>
            </w:r>
          </w:p>
        </w:tc>
        <w:tc>
          <w:tcPr>
            <w:tcW w:w="906" w:type="dxa"/>
            <w:tcMar>
              <w:top w:w="0" w:type="dxa"/>
              <w:left w:w="108" w:type="dxa"/>
              <w:bottom w:w="0" w:type="dxa"/>
              <w:right w:w="108" w:type="dxa"/>
            </w:tcMar>
            <w:hideMark/>
          </w:tcPr>
          <w:p w14:paraId="1CE8984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4,735</w:t>
            </w:r>
          </w:p>
        </w:tc>
        <w:tc>
          <w:tcPr>
            <w:tcW w:w="967" w:type="dxa"/>
            <w:tcMar>
              <w:top w:w="0" w:type="dxa"/>
              <w:left w:w="108" w:type="dxa"/>
              <w:bottom w:w="0" w:type="dxa"/>
              <w:right w:w="108" w:type="dxa"/>
            </w:tcMar>
            <w:hideMark/>
          </w:tcPr>
          <w:p w14:paraId="222767B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545</w:t>
            </w:r>
          </w:p>
        </w:tc>
        <w:tc>
          <w:tcPr>
            <w:tcW w:w="807" w:type="dxa"/>
            <w:tcMar>
              <w:top w:w="0" w:type="dxa"/>
              <w:left w:w="108" w:type="dxa"/>
              <w:bottom w:w="0" w:type="dxa"/>
              <w:right w:w="108" w:type="dxa"/>
            </w:tcMar>
            <w:hideMark/>
          </w:tcPr>
          <w:p w14:paraId="5CC3861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525</w:t>
            </w:r>
          </w:p>
        </w:tc>
        <w:tc>
          <w:tcPr>
            <w:tcW w:w="916" w:type="dxa"/>
            <w:tcMar>
              <w:top w:w="0" w:type="dxa"/>
              <w:left w:w="108" w:type="dxa"/>
              <w:bottom w:w="0" w:type="dxa"/>
              <w:right w:w="108" w:type="dxa"/>
            </w:tcMar>
            <w:hideMark/>
          </w:tcPr>
          <w:p w14:paraId="53FCF92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11,221</w:t>
            </w:r>
          </w:p>
        </w:tc>
      </w:tr>
      <w:tr w:rsidR="006E5C07" w:rsidRPr="006E5C07" w14:paraId="7F2244E8" w14:textId="77777777" w:rsidTr="006E5C07">
        <w:tc>
          <w:tcPr>
            <w:tcW w:w="2149" w:type="dxa"/>
            <w:tcMar>
              <w:top w:w="0" w:type="dxa"/>
              <w:left w:w="108" w:type="dxa"/>
              <w:bottom w:w="0" w:type="dxa"/>
              <w:right w:w="108" w:type="dxa"/>
            </w:tcMar>
            <w:hideMark/>
          </w:tcPr>
          <w:p w14:paraId="55B2820F" w14:textId="77777777" w:rsidR="006E5C07" w:rsidRPr="006E5C07" w:rsidRDefault="006E5C07" w:rsidP="006E5C07">
            <w:pPr>
              <w:spacing w:after="0" w:line="240" w:lineRule="auto"/>
              <w:rPr>
                <w:rFonts w:ascii="Calibri" w:eastAsia="Times New Roman" w:hAnsi="Calibri" w:cs="Calibri"/>
              </w:rPr>
            </w:pPr>
          </w:p>
        </w:tc>
        <w:tc>
          <w:tcPr>
            <w:tcW w:w="992" w:type="dxa"/>
            <w:tcMar>
              <w:top w:w="0" w:type="dxa"/>
              <w:left w:w="108" w:type="dxa"/>
              <w:bottom w:w="0" w:type="dxa"/>
              <w:right w:w="108" w:type="dxa"/>
            </w:tcMar>
            <w:hideMark/>
          </w:tcPr>
          <w:p w14:paraId="3C345097" w14:textId="77777777" w:rsidR="006E5C07" w:rsidRPr="006E5C07" w:rsidRDefault="006E5C07" w:rsidP="006E5C07">
            <w:pPr>
              <w:spacing w:after="0" w:line="240" w:lineRule="auto"/>
              <w:jc w:val="right"/>
              <w:rPr>
                <w:rFonts w:ascii="Calibri" w:eastAsia="Times New Roman" w:hAnsi="Calibri" w:cs="Calibri"/>
              </w:rPr>
            </w:pPr>
          </w:p>
        </w:tc>
        <w:tc>
          <w:tcPr>
            <w:tcW w:w="993" w:type="dxa"/>
            <w:tcMar>
              <w:top w:w="0" w:type="dxa"/>
              <w:left w:w="108" w:type="dxa"/>
              <w:bottom w:w="0" w:type="dxa"/>
              <w:right w:w="108" w:type="dxa"/>
            </w:tcMar>
            <w:hideMark/>
          </w:tcPr>
          <w:p w14:paraId="3E049436" w14:textId="77777777" w:rsidR="006E5C07" w:rsidRPr="006E5C07" w:rsidRDefault="006E5C07" w:rsidP="006E5C07">
            <w:pPr>
              <w:spacing w:after="0" w:line="240" w:lineRule="auto"/>
              <w:jc w:val="right"/>
              <w:rPr>
                <w:rFonts w:ascii="Calibri" w:eastAsia="Times New Roman" w:hAnsi="Calibri" w:cs="Calibri"/>
              </w:rPr>
            </w:pPr>
          </w:p>
        </w:tc>
        <w:tc>
          <w:tcPr>
            <w:tcW w:w="906" w:type="dxa"/>
            <w:tcMar>
              <w:top w:w="0" w:type="dxa"/>
              <w:left w:w="108" w:type="dxa"/>
              <w:bottom w:w="0" w:type="dxa"/>
              <w:right w:w="108" w:type="dxa"/>
            </w:tcMar>
            <w:hideMark/>
          </w:tcPr>
          <w:p w14:paraId="50B6AFE9" w14:textId="77777777" w:rsidR="006E5C07" w:rsidRPr="006E5C07" w:rsidRDefault="006E5C07" w:rsidP="006E5C07">
            <w:pPr>
              <w:spacing w:after="0" w:line="240" w:lineRule="auto"/>
              <w:jc w:val="right"/>
              <w:rPr>
                <w:rFonts w:ascii="Calibri" w:eastAsia="Times New Roman" w:hAnsi="Calibri" w:cs="Calibri"/>
              </w:rPr>
            </w:pPr>
          </w:p>
        </w:tc>
        <w:tc>
          <w:tcPr>
            <w:tcW w:w="967" w:type="dxa"/>
            <w:tcMar>
              <w:top w:w="0" w:type="dxa"/>
              <w:left w:w="108" w:type="dxa"/>
              <w:bottom w:w="0" w:type="dxa"/>
              <w:right w:w="108" w:type="dxa"/>
            </w:tcMar>
            <w:hideMark/>
          </w:tcPr>
          <w:p w14:paraId="0B8764C0" w14:textId="77777777" w:rsidR="006E5C07" w:rsidRPr="006E5C07" w:rsidRDefault="006E5C07" w:rsidP="006E5C07">
            <w:pPr>
              <w:spacing w:after="0" w:line="240" w:lineRule="auto"/>
              <w:jc w:val="right"/>
              <w:rPr>
                <w:rFonts w:ascii="Calibri" w:eastAsia="Times New Roman" w:hAnsi="Calibri" w:cs="Calibri"/>
              </w:rPr>
            </w:pPr>
          </w:p>
        </w:tc>
        <w:tc>
          <w:tcPr>
            <w:tcW w:w="807" w:type="dxa"/>
            <w:tcMar>
              <w:top w:w="0" w:type="dxa"/>
              <w:left w:w="108" w:type="dxa"/>
              <w:bottom w:w="0" w:type="dxa"/>
              <w:right w:w="108" w:type="dxa"/>
            </w:tcMar>
            <w:hideMark/>
          </w:tcPr>
          <w:p w14:paraId="6430CAD3" w14:textId="77777777" w:rsidR="006E5C07" w:rsidRPr="006E5C07" w:rsidRDefault="006E5C07" w:rsidP="006E5C07">
            <w:pPr>
              <w:spacing w:after="0" w:line="240" w:lineRule="auto"/>
              <w:jc w:val="right"/>
              <w:rPr>
                <w:rFonts w:ascii="Calibri" w:eastAsia="Times New Roman" w:hAnsi="Calibri" w:cs="Calibri"/>
              </w:rPr>
            </w:pPr>
          </w:p>
        </w:tc>
        <w:tc>
          <w:tcPr>
            <w:tcW w:w="916" w:type="dxa"/>
            <w:tcMar>
              <w:top w:w="0" w:type="dxa"/>
              <w:left w:w="108" w:type="dxa"/>
              <w:bottom w:w="0" w:type="dxa"/>
              <w:right w:w="108" w:type="dxa"/>
            </w:tcMar>
            <w:hideMark/>
          </w:tcPr>
          <w:p w14:paraId="3EE1FFE2"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3EBC142B" w14:textId="77777777" w:rsidTr="006E5C07">
        <w:tc>
          <w:tcPr>
            <w:tcW w:w="2149" w:type="dxa"/>
            <w:tcMar>
              <w:top w:w="0" w:type="dxa"/>
              <w:left w:w="108" w:type="dxa"/>
              <w:bottom w:w="0" w:type="dxa"/>
              <w:right w:w="108" w:type="dxa"/>
            </w:tcMar>
            <w:hideMark/>
          </w:tcPr>
          <w:p w14:paraId="60BA873E"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Total segment liabilities</w:t>
            </w:r>
          </w:p>
        </w:tc>
        <w:tc>
          <w:tcPr>
            <w:tcW w:w="992" w:type="dxa"/>
            <w:tcMar>
              <w:top w:w="0" w:type="dxa"/>
              <w:left w:w="108" w:type="dxa"/>
              <w:bottom w:w="0" w:type="dxa"/>
              <w:right w:w="108" w:type="dxa"/>
            </w:tcMar>
            <w:hideMark/>
          </w:tcPr>
          <w:p w14:paraId="6EE3453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(5,175)</w:t>
            </w:r>
          </w:p>
        </w:tc>
        <w:tc>
          <w:tcPr>
            <w:tcW w:w="993" w:type="dxa"/>
            <w:tcMar>
              <w:top w:w="0" w:type="dxa"/>
              <w:left w:w="108" w:type="dxa"/>
              <w:bottom w:w="0" w:type="dxa"/>
              <w:right w:w="108" w:type="dxa"/>
            </w:tcMar>
            <w:hideMark/>
          </w:tcPr>
          <w:p w14:paraId="1FE42EB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(45)</w:t>
            </w:r>
          </w:p>
        </w:tc>
        <w:tc>
          <w:tcPr>
            <w:tcW w:w="906" w:type="dxa"/>
            <w:tcMar>
              <w:top w:w="0" w:type="dxa"/>
              <w:left w:w="108" w:type="dxa"/>
              <w:bottom w:w="0" w:type="dxa"/>
              <w:right w:w="108" w:type="dxa"/>
            </w:tcMar>
            <w:hideMark/>
          </w:tcPr>
          <w:p w14:paraId="0FE02E1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(714)</w:t>
            </w:r>
          </w:p>
        </w:tc>
        <w:tc>
          <w:tcPr>
            <w:tcW w:w="967" w:type="dxa"/>
            <w:tcMar>
              <w:top w:w="0" w:type="dxa"/>
              <w:left w:w="108" w:type="dxa"/>
              <w:bottom w:w="0" w:type="dxa"/>
              <w:right w:w="108" w:type="dxa"/>
            </w:tcMar>
            <w:hideMark/>
          </w:tcPr>
          <w:p w14:paraId="26560B5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(561)</w:t>
            </w:r>
          </w:p>
        </w:tc>
        <w:tc>
          <w:tcPr>
            <w:tcW w:w="807" w:type="dxa"/>
            <w:tcMar>
              <w:top w:w="0" w:type="dxa"/>
              <w:left w:w="108" w:type="dxa"/>
              <w:bottom w:w="0" w:type="dxa"/>
              <w:right w:w="108" w:type="dxa"/>
            </w:tcMar>
            <w:hideMark/>
          </w:tcPr>
          <w:p w14:paraId="4DFEE02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(41)</w:t>
            </w:r>
          </w:p>
        </w:tc>
        <w:tc>
          <w:tcPr>
            <w:tcW w:w="916" w:type="dxa"/>
            <w:tcMar>
              <w:top w:w="0" w:type="dxa"/>
              <w:left w:w="108" w:type="dxa"/>
              <w:bottom w:w="0" w:type="dxa"/>
              <w:right w:w="108" w:type="dxa"/>
            </w:tcMar>
            <w:hideMark/>
          </w:tcPr>
          <w:p w14:paraId="45EA0B3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(6,536)</w:t>
            </w:r>
          </w:p>
        </w:tc>
      </w:tr>
      <w:tr w:rsidR="006E5C07" w:rsidRPr="006E5C07" w14:paraId="38215AA2" w14:textId="77777777" w:rsidTr="006E5C07">
        <w:tc>
          <w:tcPr>
            <w:tcW w:w="2149" w:type="dxa"/>
            <w:tcMar>
              <w:top w:w="0" w:type="dxa"/>
              <w:left w:w="108" w:type="dxa"/>
              <w:bottom w:w="0" w:type="dxa"/>
              <w:right w:w="108" w:type="dxa"/>
            </w:tcMar>
            <w:hideMark/>
          </w:tcPr>
          <w:p w14:paraId="505E8665" w14:textId="77777777" w:rsidR="006E5C07" w:rsidRPr="006E5C07" w:rsidRDefault="006E5C07" w:rsidP="006E5C07">
            <w:pPr>
              <w:spacing w:after="0" w:line="240" w:lineRule="auto"/>
              <w:rPr>
                <w:rFonts w:ascii="Calibri" w:eastAsia="Times New Roman" w:hAnsi="Calibri" w:cs="Calibri"/>
              </w:rPr>
            </w:pPr>
          </w:p>
        </w:tc>
        <w:tc>
          <w:tcPr>
            <w:tcW w:w="992" w:type="dxa"/>
            <w:tcBorders>
              <w:top w:val="nil"/>
              <w:left w:val="nil"/>
              <w:bottom w:val="single" w:sz="8" w:space="0" w:color="auto"/>
              <w:right w:val="nil"/>
            </w:tcBorders>
            <w:tcMar>
              <w:top w:w="0" w:type="dxa"/>
              <w:left w:w="108" w:type="dxa"/>
              <w:bottom w:w="0" w:type="dxa"/>
              <w:right w:w="108" w:type="dxa"/>
            </w:tcMar>
            <w:hideMark/>
          </w:tcPr>
          <w:p w14:paraId="5556A330" w14:textId="77777777" w:rsidR="006E5C07" w:rsidRPr="006E5C07" w:rsidRDefault="006E5C07" w:rsidP="006E5C07">
            <w:pPr>
              <w:spacing w:after="0" w:line="240" w:lineRule="auto"/>
              <w:rPr>
                <w:rFonts w:ascii="Calibri" w:eastAsia="Times New Roman" w:hAnsi="Calibri" w:cs="Calibri"/>
              </w:rPr>
            </w:pPr>
          </w:p>
        </w:tc>
        <w:tc>
          <w:tcPr>
            <w:tcW w:w="993" w:type="dxa"/>
            <w:tcBorders>
              <w:top w:val="nil"/>
              <w:left w:val="nil"/>
              <w:bottom w:val="single" w:sz="8" w:space="0" w:color="auto"/>
              <w:right w:val="nil"/>
            </w:tcBorders>
            <w:tcMar>
              <w:top w:w="0" w:type="dxa"/>
              <w:left w:w="108" w:type="dxa"/>
              <w:bottom w:w="0" w:type="dxa"/>
              <w:right w:w="108" w:type="dxa"/>
            </w:tcMar>
            <w:hideMark/>
          </w:tcPr>
          <w:p w14:paraId="77BF41C0" w14:textId="77777777" w:rsidR="006E5C07" w:rsidRPr="006E5C07" w:rsidRDefault="006E5C07" w:rsidP="006E5C07">
            <w:pPr>
              <w:spacing w:after="0" w:line="240" w:lineRule="auto"/>
              <w:rPr>
                <w:rFonts w:ascii="Calibri" w:eastAsia="Times New Roman" w:hAnsi="Calibri" w:cs="Calibri"/>
              </w:rPr>
            </w:pPr>
          </w:p>
        </w:tc>
        <w:tc>
          <w:tcPr>
            <w:tcW w:w="906" w:type="dxa"/>
            <w:tcBorders>
              <w:top w:val="nil"/>
              <w:left w:val="nil"/>
              <w:bottom w:val="single" w:sz="8" w:space="0" w:color="auto"/>
              <w:right w:val="nil"/>
            </w:tcBorders>
            <w:tcMar>
              <w:top w:w="0" w:type="dxa"/>
              <w:left w:w="108" w:type="dxa"/>
              <w:bottom w:w="0" w:type="dxa"/>
              <w:right w:w="108" w:type="dxa"/>
            </w:tcMar>
            <w:hideMark/>
          </w:tcPr>
          <w:p w14:paraId="7F4A505E" w14:textId="77777777" w:rsidR="006E5C07" w:rsidRPr="006E5C07" w:rsidRDefault="006E5C07" w:rsidP="006E5C07">
            <w:pPr>
              <w:spacing w:after="0" w:line="240" w:lineRule="auto"/>
              <w:rPr>
                <w:rFonts w:ascii="Calibri" w:eastAsia="Times New Roman" w:hAnsi="Calibri" w:cs="Calibri"/>
              </w:rPr>
            </w:pPr>
          </w:p>
        </w:tc>
        <w:tc>
          <w:tcPr>
            <w:tcW w:w="967" w:type="dxa"/>
            <w:tcBorders>
              <w:top w:val="nil"/>
              <w:left w:val="nil"/>
              <w:bottom w:val="single" w:sz="8" w:space="0" w:color="auto"/>
              <w:right w:val="nil"/>
            </w:tcBorders>
            <w:tcMar>
              <w:top w:w="0" w:type="dxa"/>
              <w:left w:w="108" w:type="dxa"/>
              <w:bottom w:w="0" w:type="dxa"/>
              <w:right w:w="108" w:type="dxa"/>
            </w:tcMar>
            <w:hideMark/>
          </w:tcPr>
          <w:p w14:paraId="60FA1C75" w14:textId="77777777" w:rsidR="006E5C07" w:rsidRPr="006E5C07" w:rsidRDefault="006E5C07" w:rsidP="006E5C07">
            <w:pPr>
              <w:spacing w:after="0" w:line="240" w:lineRule="auto"/>
              <w:rPr>
                <w:rFonts w:ascii="Calibri" w:eastAsia="Times New Roman" w:hAnsi="Calibri" w:cs="Calibri"/>
              </w:rPr>
            </w:pPr>
          </w:p>
        </w:tc>
        <w:tc>
          <w:tcPr>
            <w:tcW w:w="807" w:type="dxa"/>
            <w:tcBorders>
              <w:top w:val="nil"/>
              <w:left w:val="nil"/>
              <w:bottom w:val="single" w:sz="8" w:space="0" w:color="auto"/>
              <w:right w:val="nil"/>
            </w:tcBorders>
            <w:tcMar>
              <w:top w:w="0" w:type="dxa"/>
              <w:left w:w="108" w:type="dxa"/>
              <w:bottom w:w="0" w:type="dxa"/>
              <w:right w:w="108" w:type="dxa"/>
            </w:tcMar>
            <w:hideMark/>
          </w:tcPr>
          <w:p w14:paraId="7622AD83" w14:textId="77777777" w:rsidR="006E5C07" w:rsidRPr="006E5C07" w:rsidRDefault="006E5C07" w:rsidP="006E5C07">
            <w:pPr>
              <w:spacing w:after="0" w:line="240" w:lineRule="auto"/>
              <w:rPr>
                <w:rFonts w:ascii="Calibri" w:eastAsia="Times New Roman" w:hAnsi="Calibri" w:cs="Calibri"/>
              </w:rPr>
            </w:pPr>
          </w:p>
        </w:tc>
        <w:tc>
          <w:tcPr>
            <w:tcW w:w="916" w:type="dxa"/>
            <w:tcBorders>
              <w:top w:val="nil"/>
              <w:left w:val="nil"/>
              <w:bottom w:val="single" w:sz="8" w:space="0" w:color="auto"/>
              <w:right w:val="nil"/>
            </w:tcBorders>
            <w:tcMar>
              <w:top w:w="0" w:type="dxa"/>
              <w:left w:w="108" w:type="dxa"/>
              <w:bottom w:w="0" w:type="dxa"/>
              <w:right w:w="108" w:type="dxa"/>
            </w:tcMar>
            <w:hideMark/>
          </w:tcPr>
          <w:p w14:paraId="2B6761D8" w14:textId="77777777" w:rsidR="006E5C07" w:rsidRPr="006E5C07" w:rsidRDefault="006E5C07" w:rsidP="006E5C07">
            <w:pPr>
              <w:spacing w:after="0" w:line="240" w:lineRule="auto"/>
              <w:rPr>
                <w:rFonts w:ascii="Calibri" w:eastAsia="Times New Roman" w:hAnsi="Calibri" w:cs="Calibri"/>
              </w:rPr>
            </w:pPr>
          </w:p>
        </w:tc>
      </w:tr>
      <w:tr w:rsidR="006E5C07" w:rsidRPr="006E5C07" w14:paraId="25072FC0" w14:textId="77777777" w:rsidTr="006E5C07">
        <w:tc>
          <w:tcPr>
            <w:tcW w:w="2149" w:type="dxa"/>
            <w:tcMar>
              <w:top w:w="0" w:type="dxa"/>
              <w:left w:w="108" w:type="dxa"/>
              <w:bottom w:w="0" w:type="dxa"/>
              <w:right w:w="108" w:type="dxa"/>
            </w:tcMar>
            <w:hideMark/>
          </w:tcPr>
          <w:p w14:paraId="729ED769"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Total net assets</w:t>
            </w:r>
          </w:p>
        </w:tc>
        <w:tc>
          <w:tcPr>
            <w:tcW w:w="992" w:type="dxa"/>
            <w:tcBorders>
              <w:top w:val="nil"/>
              <w:left w:val="nil"/>
              <w:bottom w:val="single" w:sz="12" w:space="0" w:color="auto"/>
              <w:right w:val="nil"/>
            </w:tcBorders>
            <w:tcMar>
              <w:top w:w="0" w:type="dxa"/>
              <w:left w:w="108" w:type="dxa"/>
              <w:bottom w:w="0" w:type="dxa"/>
              <w:right w:w="108" w:type="dxa"/>
            </w:tcMar>
            <w:hideMark/>
          </w:tcPr>
          <w:p w14:paraId="52BAB9D3"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152</w:t>
            </w:r>
          </w:p>
        </w:tc>
        <w:tc>
          <w:tcPr>
            <w:tcW w:w="993" w:type="dxa"/>
            <w:tcBorders>
              <w:top w:val="nil"/>
              <w:left w:val="nil"/>
              <w:bottom w:val="single" w:sz="12" w:space="0" w:color="auto"/>
              <w:right w:val="nil"/>
            </w:tcBorders>
            <w:tcMar>
              <w:top w:w="0" w:type="dxa"/>
              <w:left w:w="108" w:type="dxa"/>
              <w:bottom w:w="0" w:type="dxa"/>
              <w:right w:w="108" w:type="dxa"/>
            </w:tcMar>
            <w:hideMark/>
          </w:tcPr>
          <w:p w14:paraId="6077B608"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44</w:t>
            </w:r>
          </w:p>
        </w:tc>
        <w:tc>
          <w:tcPr>
            <w:tcW w:w="906" w:type="dxa"/>
            <w:tcBorders>
              <w:top w:val="nil"/>
              <w:left w:val="nil"/>
              <w:bottom w:val="single" w:sz="12" w:space="0" w:color="auto"/>
              <w:right w:val="nil"/>
            </w:tcBorders>
            <w:tcMar>
              <w:top w:w="0" w:type="dxa"/>
              <w:left w:w="108" w:type="dxa"/>
              <w:bottom w:w="0" w:type="dxa"/>
              <w:right w:w="108" w:type="dxa"/>
            </w:tcMar>
            <w:hideMark/>
          </w:tcPr>
          <w:p w14:paraId="6B8F3DB3"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4,021</w:t>
            </w:r>
          </w:p>
        </w:tc>
        <w:tc>
          <w:tcPr>
            <w:tcW w:w="967" w:type="dxa"/>
            <w:tcBorders>
              <w:top w:val="nil"/>
              <w:left w:val="nil"/>
              <w:bottom w:val="single" w:sz="12" w:space="0" w:color="auto"/>
              <w:right w:val="nil"/>
            </w:tcBorders>
            <w:tcMar>
              <w:top w:w="0" w:type="dxa"/>
              <w:left w:w="108" w:type="dxa"/>
              <w:bottom w:w="0" w:type="dxa"/>
              <w:right w:w="108" w:type="dxa"/>
            </w:tcMar>
            <w:hideMark/>
          </w:tcPr>
          <w:p w14:paraId="713EF256"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(16)</w:t>
            </w:r>
          </w:p>
        </w:tc>
        <w:tc>
          <w:tcPr>
            <w:tcW w:w="807" w:type="dxa"/>
            <w:tcBorders>
              <w:top w:val="nil"/>
              <w:left w:val="nil"/>
              <w:bottom w:val="single" w:sz="12" w:space="0" w:color="auto"/>
              <w:right w:val="nil"/>
            </w:tcBorders>
            <w:tcMar>
              <w:top w:w="0" w:type="dxa"/>
              <w:left w:w="108" w:type="dxa"/>
              <w:bottom w:w="0" w:type="dxa"/>
              <w:right w:w="108" w:type="dxa"/>
            </w:tcMar>
            <w:hideMark/>
          </w:tcPr>
          <w:p w14:paraId="16E3C641"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484</w:t>
            </w:r>
          </w:p>
        </w:tc>
        <w:tc>
          <w:tcPr>
            <w:tcW w:w="916" w:type="dxa"/>
            <w:tcBorders>
              <w:top w:val="nil"/>
              <w:left w:val="nil"/>
              <w:bottom w:val="single" w:sz="12" w:space="0" w:color="auto"/>
              <w:right w:val="nil"/>
            </w:tcBorders>
            <w:tcMar>
              <w:top w:w="0" w:type="dxa"/>
              <w:left w:w="108" w:type="dxa"/>
              <w:bottom w:w="0" w:type="dxa"/>
              <w:right w:w="108" w:type="dxa"/>
            </w:tcMar>
            <w:hideMark/>
          </w:tcPr>
          <w:p w14:paraId="3B396C94"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4,685</w:t>
            </w:r>
          </w:p>
        </w:tc>
      </w:tr>
    </w:tbl>
    <w:p w14:paraId="1FBFA541" w14:textId="77777777" w:rsidR="006E5C07" w:rsidRPr="006E5C07" w:rsidRDefault="006E5C07" w:rsidP="006E5C07">
      <w:pPr>
        <w:spacing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1627"/>
        <w:gridCol w:w="478"/>
        <w:gridCol w:w="837"/>
        <w:gridCol w:w="1006"/>
        <w:gridCol w:w="736"/>
        <w:gridCol w:w="892"/>
        <w:gridCol w:w="668"/>
        <w:gridCol w:w="672"/>
        <w:gridCol w:w="742"/>
      </w:tblGrid>
      <w:tr w:rsidR="006E5C07" w:rsidRPr="006E5C07" w14:paraId="3CF16DAD" w14:textId="77777777" w:rsidTr="006E5C07">
        <w:tc>
          <w:tcPr>
            <w:tcW w:w="1627" w:type="dxa"/>
            <w:tcMar>
              <w:top w:w="0" w:type="dxa"/>
              <w:left w:w="108" w:type="dxa"/>
              <w:bottom w:w="0" w:type="dxa"/>
              <w:right w:w="108" w:type="dxa"/>
            </w:tcMar>
            <w:hideMark/>
          </w:tcPr>
          <w:p w14:paraId="1633738D" w14:textId="77777777" w:rsidR="006E5C07" w:rsidRPr="006E5C07" w:rsidRDefault="006E5C07" w:rsidP="006E5C07">
            <w:pPr>
              <w:spacing w:after="0" w:line="240" w:lineRule="auto"/>
              <w:rPr>
                <w:rFonts w:ascii="Calibri" w:eastAsia="Times New Roman" w:hAnsi="Calibri" w:cs="Calibri"/>
                <w:u w:val="single"/>
              </w:rPr>
            </w:pPr>
            <w:r w:rsidRPr="006E5C07">
              <w:rPr>
                <w:rFonts w:ascii="Gill Sans MT" w:eastAsia="Times New Roman" w:hAnsi="Gill Sans MT" w:cs="Calibri"/>
                <w:sz w:val="18"/>
                <w:szCs w:val="18"/>
                <w:u w:val="single"/>
              </w:rPr>
              <w:t>Segment revenues and results for</w:t>
            </w:r>
          </w:p>
        </w:tc>
        <w:tc>
          <w:tcPr>
            <w:tcW w:w="1315" w:type="dxa"/>
            <w:gridSpan w:val="2"/>
            <w:tcMar>
              <w:top w:w="0" w:type="dxa"/>
              <w:left w:w="108" w:type="dxa"/>
              <w:bottom w:w="0" w:type="dxa"/>
              <w:right w:w="108" w:type="dxa"/>
            </w:tcMar>
            <w:hideMark/>
          </w:tcPr>
          <w:p w14:paraId="4EE49FE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Promotion</w:t>
            </w:r>
          </w:p>
        </w:tc>
        <w:tc>
          <w:tcPr>
            <w:tcW w:w="837" w:type="dxa"/>
            <w:tcMar>
              <w:top w:w="0" w:type="dxa"/>
              <w:left w:w="108" w:type="dxa"/>
              <w:bottom w:w="0" w:type="dxa"/>
              <w:right w:w="108" w:type="dxa"/>
            </w:tcMar>
            <w:hideMark/>
          </w:tcPr>
          <w:p w14:paraId="33D6EC7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Promotion</w:t>
            </w:r>
          </w:p>
        </w:tc>
        <w:tc>
          <w:tcPr>
            <w:tcW w:w="736" w:type="dxa"/>
            <w:tcMar>
              <w:top w:w="0" w:type="dxa"/>
              <w:left w:w="108" w:type="dxa"/>
              <w:bottom w:w="0" w:type="dxa"/>
              <w:right w:w="108" w:type="dxa"/>
            </w:tcMar>
            <w:hideMark/>
          </w:tcPr>
          <w:p w14:paraId="573A1D4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Retail</w:t>
            </w:r>
          </w:p>
        </w:tc>
        <w:tc>
          <w:tcPr>
            <w:tcW w:w="746" w:type="dxa"/>
            <w:tcMar>
              <w:top w:w="0" w:type="dxa"/>
              <w:left w:w="108" w:type="dxa"/>
              <w:bottom w:w="0" w:type="dxa"/>
              <w:right w:w="108" w:type="dxa"/>
            </w:tcMar>
            <w:hideMark/>
          </w:tcPr>
          <w:p w14:paraId="6B82A97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Retail</w:t>
            </w:r>
          </w:p>
        </w:tc>
        <w:tc>
          <w:tcPr>
            <w:tcW w:w="668" w:type="dxa"/>
            <w:tcMar>
              <w:top w:w="0" w:type="dxa"/>
              <w:left w:w="108" w:type="dxa"/>
              <w:bottom w:w="0" w:type="dxa"/>
              <w:right w:w="108" w:type="dxa"/>
            </w:tcMar>
            <w:hideMark/>
          </w:tcPr>
          <w:p w14:paraId="0EAB8D8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Head</w:t>
            </w:r>
          </w:p>
        </w:tc>
        <w:tc>
          <w:tcPr>
            <w:tcW w:w="627" w:type="dxa"/>
            <w:tcMar>
              <w:top w:w="0" w:type="dxa"/>
              <w:left w:w="108" w:type="dxa"/>
              <w:bottom w:w="0" w:type="dxa"/>
              <w:right w:w="108" w:type="dxa"/>
            </w:tcMar>
            <w:hideMark/>
          </w:tcPr>
          <w:p w14:paraId="6660308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Other</w:t>
            </w:r>
          </w:p>
        </w:tc>
        <w:tc>
          <w:tcPr>
            <w:tcW w:w="742" w:type="dxa"/>
            <w:tcMar>
              <w:top w:w="0" w:type="dxa"/>
              <w:left w:w="108" w:type="dxa"/>
              <w:bottom w:w="0" w:type="dxa"/>
              <w:right w:w="108" w:type="dxa"/>
            </w:tcMar>
            <w:hideMark/>
          </w:tcPr>
          <w:p w14:paraId="1333954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Group</w:t>
            </w:r>
          </w:p>
        </w:tc>
      </w:tr>
      <w:tr w:rsidR="006E5C07" w:rsidRPr="006E5C07" w14:paraId="4CB44A6E" w14:textId="77777777" w:rsidTr="006E5C07">
        <w:tc>
          <w:tcPr>
            <w:tcW w:w="1627" w:type="dxa"/>
            <w:tcMar>
              <w:top w:w="0" w:type="dxa"/>
              <w:left w:w="108" w:type="dxa"/>
              <w:bottom w:w="0" w:type="dxa"/>
              <w:right w:w="108" w:type="dxa"/>
            </w:tcMar>
            <w:hideMark/>
          </w:tcPr>
          <w:p w14:paraId="15094CE2" w14:textId="77777777" w:rsidR="006E5C07" w:rsidRPr="006E5C07" w:rsidRDefault="006E5C07" w:rsidP="006E5C07">
            <w:pPr>
              <w:spacing w:after="0" w:line="240" w:lineRule="auto"/>
              <w:rPr>
                <w:rFonts w:ascii="Calibri" w:eastAsia="Times New Roman" w:hAnsi="Calibri" w:cs="Calibri"/>
                <w:u w:val="single"/>
              </w:rPr>
            </w:pPr>
            <w:r w:rsidRPr="006E5C07">
              <w:rPr>
                <w:rFonts w:ascii="Gill Sans MT" w:eastAsia="Times New Roman" w:hAnsi="Gill Sans MT" w:cs="Calibri"/>
                <w:sz w:val="18"/>
                <w:szCs w:val="18"/>
                <w:u w:val="single"/>
              </w:rPr>
              <w:t>12 months to</w:t>
            </w:r>
          </w:p>
        </w:tc>
        <w:tc>
          <w:tcPr>
            <w:tcW w:w="1315" w:type="dxa"/>
            <w:gridSpan w:val="2"/>
            <w:tcMar>
              <w:top w:w="0" w:type="dxa"/>
              <w:left w:w="108" w:type="dxa"/>
              <w:bottom w:w="0" w:type="dxa"/>
              <w:right w:w="108" w:type="dxa"/>
            </w:tcMar>
            <w:hideMark/>
          </w:tcPr>
          <w:p w14:paraId="20D7351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UK</w:t>
            </w:r>
          </w:p>
        </w:tc>
        <w:tc>
          <w:tcPr>
            <w:tcW w:w="837" w:type="dxa"/>
            <w:tcMar>
              <w:top w:w="0" w:type="dxa"/>
              <w:left w:w="108" w:type="dxa"/>
              <w:bottom w:w="0" w:type="dxa"/>
              <w:right w:w="108" w:type="dxa"/>
            </w:tcMar>
            <w:hideMark/>
          </w:tcPr>
          <w:p w14:paraId="7B1BCB8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Germany</w:t>
            </w:r>
          </w:p>
        </w:tc>
        <w:tc>
          <w:tcPr>
            <w:tcW w:w="736" w:type="dxa"/>
            <w:tcMar>
              <w:top w:w="0" w:type="dxa"/>
              <w:left w:w="108" w:type="dxa"/>
              <w:bottom w:w="0" w:type="dxa"/>
              <w:right w:w="108" w:type="dxa"/>
            </w:tcMar>
            <w:hideMark/>
          </w:tcPr>
          <w:p w14:paraId="745AF72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UK</w:t>
            </w:r>
          </w:p>
        </w:tc>
        <w:tc>
          <w:tcPr>
            <w:tcW w:w="746" w:type="dxa"/>
            <w:tcMar>
              <w:top w:w="0" w:type="dxa"/>
              <w:left w:w="108" w:type="dxa"/>
              <w:bottom w:w="0" w:type="dxa"/>
              <w:right w:w="108" w:type="dxa"/>
            </w:tcMar>
            <w:hideMark/>
          </w:tcPr>
          <w:p w14:paraId="60C813D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Germany</w:t>
            </w:r>
          </w:p>
        </w:tc>
        <w:tc>
          <w:tcPr>
            <w:tcW w:w="668" w:type="dxa"/>
            <w:tcMar>
              <w:top w:w="0" w:type="dxa"/>
              <w:left w:w="108" w:type="dxa"/>
              <w:bottom w:w="0" w:type="dxa"/>
              <w:right w:w="108" w:type="dxa"/>
            </w:tcMar>
            <w:hideMark/>
          </w:tcPr>
          <w:p w14:paraId="76AE115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Office</w:t>
            </w:r>
          </w:p>
        </w:tc>
        <w:tc>
          <w:tcPr>
            <w:tcW w:w="627" w:type="dxa"/>
            <w:tcMar>
              <w:top w:w="0" w:type="dxa"/>
              <w:left w:w="108" w:type="dxa"/>
              <w:bottom w:w="0" w:type="dxa"/>
              <w:right w:w="108" w:type="dxa"/>
            </w:tcMar>
            <w:hideMark/>
          </w:tcPr>
          <w:p w14:paraId="0EDD436E" w14:textId="77777777" w:rsidR="006E5C07" w:rsidRPr="006E5C07" w:rsidRDefault="006E5C07" w:rsidP="006E5C07">
            <w:pPr>
              <w:spacing w:after="0" w:line="240" w:lineRule="auto"/>
              <w:jc w:val="right"/>
              <w:rPr>
                <w:rFonts w:ascii="Calibri" w:eastAsia="Times New Roman" w:hAnsi="Calibri" w:cs="Calibri"/>
              </w:rPr>
            </w:pPr>
          </w:p>
        </w:tc>
        <w:tc>
          <w:tcPr>
            <w:tcW w:w="742" w:type="dxa"/>
            <w:tcMar>
              <w:top w:w="0" w:type="dxa"/>
              <w:left w:w="108" w:type="dxa"/>
              <w:bottom w:w="0" w:type="dxa"/>
              <w:right w:w="108" w:type="dxa"/>
            </w:tcMar>
            <w:hideMark/>
          </w:tcPr>
          <w:p w14:paraId="5970853D"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0A587C8A" w14:textId="77777777" w:rsidTr="006E5C07">
        <w:tc>
          <w:tcPr>
            <w:tcW w:w="1627" w:type="dxa"/>
            <w:tcMar>
              <w:top w:w="0" w:type="dxa"/>
              <w:left w:w="108" w:type="dxa"/>
              <w:bottom w:w="0" w:type="dxa"/>
              <w:right w:w="108" w:type="dxa"/>
            </w:tcMar>
            <w:hideMark/>
          </w:tcPr>
          <w:p w14:paraId="3B982C90" w14:textId="77777777" w:rsidR="006E5C07" w:rsidRPr="006E5C07" w:rsidRDefault="006E5C07" w:rsidP="006E5C07">
            <w:pPr>
              <w:spacing w:after="0" w:line="240" w:lineRule="auto"/>
              <w:rPr>
                <w:rFonts w:ascii="Calibri" w:eastAsia="Times New Roman" w:hAnsi="Calibri" w:cs="Calibri"/>
                <w:u w:val="single"/>
              </w:rPr>
            </w:pPr>
            <w:r w:rsidRPr="006E5C07">
              <w:rPr>
                <w:rFonts w:ascii="Gill Sans MT" w:eastAsia="Times New Roman" w:hAnsi="Gill Sans MT" w:cs="Calibri"/>
                <w:sz w:val="18"/>
                <w:szCs w:val="18"/>
                <w:u w:val="single"/>
              </w:rPr>
              <w:t>31 December '19</w:t>
            </w:r>
          </w:p>
          <w:p w14:paraId="57F2588B" w14:textId="77777777" w:rsidR="006E5C07" w:rsidRPr="006E5C07" w:rsidRDefault="006E5C07" w:rsidP="006E5C07">
            <w:pPr>
              <w:spacing w:after="0" w:line="240" w:lineRule="auto"/>
              <w:rPr>
                <w:rFonts w:ascii="Calibri" w:eastAsia="Times New Roman" w:hAnsi="Calibri" w:cs="Calibri"/>
                <w:u w:val="single"/>
              </w:rPr>
            </w:pPr>
            <w:r w:rsidRPr="006E5C07">
              <w:rPr>
                <w:rFonts w:ascii="Gill Sans MT" w:eastAsia="Times New Roman" w:hAnsi="Gill Sans MT" w:cs="Calibri"/>
                <w:sz w:val="18"/>
                <w:szCs w:val="18"/>
                <w:u w:val="single"/>
              </w:rPr>
              <w:t>as restated</w:t>
            </w:r>
          </w:p>
        </w:tc>
        <w:tc>
          <w:tcPr>
            <w:tcW w:w="1315" w:type="dxa"/>
            <w:gridSpan w:val="2"/>
            <w:tcMar>
              <w:top w:w="0" w:type="dxa"/>
              <w:left w:w="108" w:type="dxa"/>
              <w:bottom w:w="0" w:type="dxa"/>
              <w:right w:w="108" w:type="dxa"/>
            </w:tcMar>
            <w:hideMark/>
          </w:tcPr>
          <w:p w14:paraId="073BAA3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837" w:type="dxa"/>
            <w:tcMar>
              <w:top w:w="0" w:type="dxa"/>
              <w:left w:w="108" w:type="dxa"/>
              <w:bottom w:w="0" w:type="dxa"/>
              <w:right w:w="108" w:type="dxa"/>
            </w:tcMar>
            <w:hideMark/>
          </w:tcPr>
          <w:p w14:paraId="16FE7C3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736" w:type="dxa"/>
            <w:tcMar>
              <w:top w:w="0" w:type="dxa"/>
              <w:left w:w="108" w:type="dxa"/>
              <w:bottom w:w="0" w:type="dxa"/>
              <w:right w:w="108" w:type="dxa"/>
            </w:tcMar>
            <w:hideMark/>
          </w:tcPr>
          <w:p w14:paraId="3BEF26B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746" w:type="dxa"/>
            <w:tcMar>
              <w:top w:w="0" w:type="dxa"/>
              <w:left w:w="108" w:type="dxa"/>
              <w:bottom w:w="0" w:type="dxa"/>
              <w:right w:w="108" w:type="dxa"/>
            </w:tcMar>
            <w:hideMark/>
          </w:tcPr>
          <w:p w14:paraId="60ACF5D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668" w:type="dxa"/>
            <w:tcMar>
              <w:top w:w="0" w:type="dxa"/>
              <w:left w:w="108" w:type="dxa"/>
              <w:bottom w:w="0" w:type="dxa"/>
              <w:right w:w="108" w:type="dxa"/>
            </w:tcMar>
            <w:hideMark/>
          </w:tcPr>
          <w:p w14:paraId="665F741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627" w:type="dxa"/>
            <w:tcMar>
              <w:top w:w="0" w:type="dxa"/>
              <w:left w:w="108" w:type="dxa"/>
              <w:bottom w:w="0" w:type="dxa"/>
              <w:right w:w="108" w:type="dxa"/>
            </w:tcMar>
            <w:hideMark/>
          </w:tcPr>
          <w:p w14:paraId="76F5B1C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742" w:type="dxa"/>
            <w:tcMar>
              <w:top w:w="0" w:type="dxa"/>
              <w:left w:w="108" w:type="dxa"/>
              <w:bottom w:w="0" w:type="dxa"/>
              <w:right w:w="108" w:type="dxa"/>
            </w:tcMar>
            <w:hideMark/>
          </w:tcPr>
          <w:p w14:paraId="4AB12EA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0848DDF8" w14:textId="77777777" w:rsidTr="006E5C07">
        <w:tc>
          <w:tcPr>
            <w:tcW w:w="1627" w:type="dxa"/>
            <w:tcMar>
              <w:top w:w="0" w:type="dxa"/>
              <w:left w:w="108" w:type="dxa"/>
              <w:bottom w:w="0" w:type="dxa"/>
              <w:right w:w="108" w:type="dxa"/>
            </w:tcMar>
            <w:hideMark/>
          </w:tcPr>
          <w:p w14:paraId="7FAE7DDD" w14:textId="77777777" w:rsidR="006E5C07" w:rsidRPr="006E5C07" w:rsidRDefault="006E5C07" w:rsidP="006E5C07">
            <w:pPr>
              <w:spacing w:after="0" w:line="240" w:lineRule="auto"/>
              <w:rPr>
                <w:rFonts w:ascii="Calibri" w:eastAsia="Times New Roman" w:hAnsi="Calibri" w:cs="Calibri"/>
              </w:rPr>
            </w:pPr>
          </w:p>
        </w:tc>
        <w:tc>
          <w:tcPr>
            <w:tcW w:w="1315" w:type="dxa"/>
            <w:gridSpan w:val="2"/>
            <w:tcMar>
              <w:top w:w="0" w:type="dxa"/>
              <w:left w:w="108" w:type="dxa"/>
              <w:bottom w:w="0" w:type="dxa"/>
              <w:right w:w="108" w:type="dxa"/>
            </w:tcMar>
            <w:hideMark/>
          </w:tcPr>
          <w:p w14:paraId="641F8F47" w14:textId="77777777" w:rsidR="006E5C07" w:rsidRPr="006E5C07" w:rsidRDefault="006E5C07" w:rsidP="006E5C07">
            <w:pPr>
              <w:spacing w:after="0" w:line="240" w:lineRule="auto"/>
              <w:jc w:val="right"/>
              <w:rPr>
                <w:rFonts w:ascii="Calibri" w:eastAsia="Times New Roman" w:hAnsi="Calibri" w:cs="Calibri"/>
              </w:rPr>
            </w:pPr>
          </w:p>
        </w:tc>
        <w:tc>
          <w:tcPr>
            <w:tcW w:w="837" w:type="dxa"/>
            <w:tcMar>
              <w:top w:w="0" w:type="dxa"/>
              <w:left w:w="108" w:type="dxa"/>
              <w:bottom w:w="0" w:type="dxa"/>
              <w:right w:w="108" w:type="dxa"/>
            </w:tcMar>
            <w:hideMark/>
          </w:tcPr>
          <w:p w14:paraId="29C88AB5" w14:textId="77777777" w:rsidR="006E5C07" w:rsidRPr="006E5C07" w:rsidRDefault="006E5C07" w:rsidP="006E5C07">
            <w:pPr>
              <w:spacing w:after="0" w:line="240" w:lineRule="auto"/>
              <w:jc w:val="right"/>
              <w:rPr>
                <w:rFonts w:ascii="Calibri" w:eastAsia="Times New Roman" w:hAnsi="Calibri" w:cs="Calibri"/>
              </w:rPr>
            </w:pPr>
          </w:p>
        </w:tc>
        <w:tc>
          <w:tcPr>
            <w:tcW w:w="736" w:type="dxa"/>
            <w:tcMar>
              <w:top w:w="0" w:type="dxa"/>
              <w:left w:w="108" w:type="dxa"/>
              <w:bottom w:w="0" w:type="dxa"/>
              <w:right w:w="108" w:type="dxa"/>
            </w:tcMar>
            <w:hideMark/>
          </w:tcPr>
          <w:p w14:paraId="0D7E1B85" w14:textId="77777777" w:rsidR="006E5C07" w:rsidRPr="006E5C07" w:rsidRDefault="006E5C07" w:rsidP="006E5C07">
            <w:pPr>
              <w:spacing w:after="0" w:line="240" w:lineRule="auto"/>
              <w:jc w:val="right"/>
              <w:rPr>
                <w:rFonts w:ascii="Calibri" w:eastAsia="Times New Roman" w:hAnsi="Calibri" w:cs="Calibri"/>
              </w:rPr>
            </w:pPr>
          </w:p>
        </w:tc>
        <w:tc>
          <w:tcPr>
            <w:tcW w:w="746" w:type="dxa"/>
            <w:tcMar>
              <w:top w:w="0" w:type="dxa"/>
              <w:left w:w="108" w:type="dxa"/>
              <w:bottom w:w="0" w:type="dxa"/>
              <w:right w:w="108" w:type="dxa"/>
            </w:tcMar>
            <w:hideMark/>
          </w:tcPr>
          <w:p w14:paraId="39F28805" w14:textId="77777777" w:rsidR="006E5C07" w:rsidRPr="006E5C07" w:rsidRDefault="006E5C07" w:rsidP="006E5C07">
            <w:pPr>
              <w:spacing w:after="0" w:line="240" w:lineRule="auto"/>
              <w:jc w:val="right"/>
              <w:rPr>
                <w:rFonts w:ascii="Calibri" w:eastAsia="Times New Roman" w:hAnsi="Calibri" w:cs="Calibri"/>
              </w:rPr>
            </w:pPr>
          </w:p>
        </w:tc>
        <w:tc>
          <w:tcPr>
            <w:tcW w:w="668" w:type="dxa"/>
            <w:tcMar>
              <w:top w:w="0" w:type="dxa"/>
              <w:left w:w="108" w:type="dxa"/>
              <w:bottom w:w="0" w:type="dxa"/>
              <w:right w:w="108" w:type="dxa"/>
            </w:tcMar>
            <w:hideMark/>
          </w:tcPr>
          <w:p w14:paraId="28590554" w14:textId="77777777" w:rsidR="006E5C07" w:rsidRPr="006E5C07" w:rsidRDefault="006E5C07" w:rsidP="006E5C07">
            <w:pPr>
              <w:spacing w:after="0" w:line="240" w:lineRule="auto"/>
              <w:jc w:val="right"/>
              <w:rPr>
                <w:rFonts w:ascii="Calibri" w:eastAsia="Times New Roman" w:hAnsi="Calibri" w:cs="Calibri"/>
              </w:rPr>
            </w:pPr>
          </w:p>
        </w:tc>
        <w:tc>
          <w:tcPr>
            <w:tcW w:w="627" w:type="dxa"/>
            <w:tcMar>
              <w:top w:w="0" w:type="dxa"/>
              <w:left w:w="108" w:type="dxa"/>
              <w:bottom w:w="0" w:type="dxa"/>
              <w:right w:w="108" w:type="dxa"/>
            </w:tcMar>
            <w:hideMark/>
          </w:tcPr>
          <w:p w14:paraId="7A2E355D" w14:textId="77777777" w:rsidR="006E5C07" w:rsidRPr="006E5C07" w:rsidRDefault="006E5C07" w:rsidP="006E5C07">
            <w:pPr>
              <w:spacing w:after="0" w:line="240" w:lineRule="auto"/>
              <w:jc w:val="right"/>
              <w:rPr>
                <w:rFonts w:ascii="Calibri" w:eastAsia="Times New Roman" w:hAnsi="Calibri" w:cs="Calibri"/>
              </w:rPr>
            </w:pPr>
          </w:p>
        </w:tc>
        <w:tc>
          <w:tcPr>
            <w:tcW w:w="742" w:type="dxa"/>
            <w:tcMar>
              <w:top w:w="0" w:type="dxa"/>
              <w:left w:w="108" w:type="dxa"/>
              <w:bottom w:w="0" w:type="dxa"/>
              <w:right w:w="108" w:type="dxa"/>
            </w:tcMar>
            <w:hideMark/>
          </w:tcPr>
          <w:p w14:paraId="59C2266C"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7B12B0A0" w14:textId="77777777" w:rsidTr="006E5C07">
        <w:tc>
          <w:tcPr>
            <w:tcW w:w="1627" w:type="dxa"/>
            <w:tcMar>
              <w:top w:w="0" w:type="dxa"/>
              <w:left w:w="108" w:type="dxa"/>
              <w:bottom w:w="0" w:type="dxa"/>
              <w:right w:w="108" w:type="dxa"/>
            </w:tcMar>
            <w:hideMark/>
          </w:tcPr>
          <w:p w14:paraId="6E7839AC" w14:textId="77777777" w:rsidR="006E5C07" w:rsidRPr="006E5C07" w:rsidRDefault="006E5C07" w:rsidP="006E5C07">
            <w:pPr>
              <w:spacing w:after="0" w:line="240" w:lineRule="auto"/>
              <w:rPr>
                <w:rFonts w:ascii="Calibri" w:eastAsia="Times New Roman" w:hAnsi="Calibri" w:cs="Calibri"/>
                <w:b/>
                <w:bCs/>
              </w:rPr>
            </w:pPr>
          </w:p>
        </w:tc>
        <w:tc>
          <w:tcPr>
            <w:tcW w:w="1315" w:type="dxa"/>
            <w:gridSpan w:val="2"/>
            <w:tcMar>
              <w:top w:w="0" w:type="dxa"/>
              <w:left w:w="108" w:type="dxa"/>
              <w:bottom w:w="0" w:type="dxa"/>
              <w:right w:w="108" w:type="dxa"/>
            </w:tcMar>
            <w:hideMark/>
          </w:tcPr>
          <w:p w14:paraId="15497FBC" w14:textId="77777777" w:rsidR="006E5C07" w:rsidRPr="006E5C07" w:rsidRDefault="006E5C07" w:rsidP="006E5C07">
            <w:pPr>
              <w:spacing w:after="0" w:line="240" w:lineRule="auto"/>
              <w:jc w:val="right"/>
              <w:rPr>
                <w:rFonts w:ascii="Calibri" w:eastAsia="Times New Roman" w:hAnsi="Calibri" w:cs="Calibri"/>
                <w:b/>
                <w:bCs/>
              </w:rPr>
            </w:pPr>
          </w:p>
        </w:tc>
        <w:tc>
          <w:tcPr>
            <w:tcW w:w="837" w:type="dxa"/>
            <w:tcMar>
              <w:top w:w="0" w:type="dxa"/>
              <w:left w:w="108" w:type="dxa"/>
              <w:bottom w:w="0" w:type="dxa"/>
              <w:right w:w="108" w:type="dxa"/>
            </w:tcMar>
            <w:hideMark/>
          </w:tcPr>
          <w:p w14:paraId="3FB619B3" w14:textId="77777777" w:rsidR="006E5C07" w:rsidRPr="006E5C07" w:rsidRDefault="006E5C07" w:rsidP="006E5C07">
            <w:pPr>
              <w:spacing w:after="0" w:line="240" w:lineRule="auto"/>
              <w:jc w:val="right"/>
              <w:rPr>
                <w:rFonts w:ascii="Calibri" w:eastAsia="Times New Roman" w:hAnsi="Calibri" w:cs="Calibri"/>
                <w:b/>
                <w:bCs/>
              </w:rPr>
            </w:pPr>
          </w:p>
        </w:tc>
        <w:tc>
          <w:tcPr>
            <w:tcW w:w="736" w:type="dxa"/>
            <w:tcMar>
              <w:top w:w="0" w:type="dxa"/>
              <w:left w:w="108" w:type="dxa"/>
              <w:bottom w:w="0" w:type="dxa"/>
              <w:right w:w="108" w:type="dxa"/>
            </w:tcMar>
            <w:hideMark/>
          </w:tcPr>
          <w:p w14:paraId="4804D007" w14:textId="77777777" w:rsidR="006E5C07" w:rsidRPr="006E5C07" w:rsidRDefault="006E5C07" w:rsidP="006E5C07">
            <w:pPr>
              <w:spacing w:after="0" w:line="240" w:lineRule="auto"/>
              <w:jc w:val="right"/>
              <w:rPr>
                <w:rFonts w:ascii="Calibri" w:eastAsia="Times New Roman" w:hAnsi="Calibri" w:cs="Calibri"/>
                <w:b/>
                <w:bCs/>
              </w:rPr>
            </w:pPr>
          </w:p>
        </w:tc>
        <w:tc>
          <w:tcPr>
            <w:tcW w:w="746" w:type="dxa"/>
            <w:tcMar>
              <w:top w:w="0" w:type="dxa"/>
              <w:left w:w="108" w:type="dxa"/>
              <w:bottom w:w="0" w:type="dxa"/>
              <w:right w:w="108" w:type="dxa"/>
            </w:tcMar>
            <w:hideMark/>
          </w:tcPr>
          <w:p w14:paraId="7BAD7AE0" w14:textId="77777777" w:rsidR="006E5C07" w:rsidRPr="006E5C07" w:rsidRDefault="006E5C07" w:rsidP="006E5C07">
            <w:pPr>
              <w:spacing w:after="0" w:line="240" w:lineRule="auto"/>
              <w:jc w:val="right"/>
              <w:rPr>
                <w:rFonts w:ascii="Calibri" w:eastAsia="Times New Roman" w:hAnsi="Calibri" w:cs="Calibri"/>
                <w:b/>
                <w:bCs/>
              </w:rPr>
            </w:pPr>
          </w:p>
        </w:tc>
        <w:tc>
          <w:tcPr>
            <w:tcW w:w="668" w:type="dxa"/>
            <w:tcMar>
              <w:top w:w="0" w:type="dxa"/>
              <w:left w:w="108" w:type="dxa"/>
              <w:bottom w:w="0" w:type="dxa"/>
              <w:right w:w="108" w:type="dxa"/>
            </w:tcMar>
            <w:hideMark/>
          </w:tcPr>
          <w:p w14:paraId="494FD783" w14:textId="77777777" w:rsidR="006E5C07" w:rsidRPr="006E5C07" w:rsidRDefault="006E5C07" w:rsidP="006E5C07">
            <w:pPr>
              <w:spacing w:after="0" w:line="240" w:lineRule="auto"/>
              <w:jc w:val="right"/>
              <w:rPr>
                <w:rFonts w:ascii="Calibri" w:eastAsia="Times New Roman" w:hAnsi="Calibri" w:cs="Calibri"/>
                <w:b/>
                <w:bCs/>
              </w:rPr>
            </w:pPr>
          </w:p>
        </w:tc>
        <w:tc>
          <w:tcPr>
            <w:tcW w:w="627" w:type="dxa"/>
            <w:tcMar>
              <w:top w:w="0" w:type="dxa"/>
              <w:left w:w="108" w:type="dxa"/>
              <w:bottom w:w="0" w:type="dxa"/>
              <w:right w:w="108" w:type="dxa"/>
            </w:tcMar>
            <w:hideMark/>
          </w:tcPr>
          <w:p w14:paraId="170BAB69" w14:textId="77777777" w:rsidR="006E5C07" w:rsidRPr="006E5C07" w:rsidRDefault="006E5C07" w:rsidP="006E5C07">
            <w:pPr>
              <w:spacing w:after="0" w:line="240" w:lineRule="auto"/>
              <w:jc w:val="right"/>
              <w:rPr>
                <w:rFonts w:ascii="Calibri" w:eastAsia="Times New Roman" w:hAnsi="Calibri" w:cs="Calibri"/>
                <w:b/>
                <w:bCs/>
              </w:rPr>
            </w:pPr>
          </w:p>
        </w:tc>
        <w:tc>
          <w:tcPr>
            <w:tcW w:w="742" w:type="dxa"/>
            <w:tcMar>
              <w:top w:w="0" w:type="dxa"/>
              <w:left w:w="108" w:type="dxa"/>
              <w:bottom w:w="0" w:type="dxa"/>
              <w:right w:w="108" w:type="dxa"/>
            </w:tcMar>
            <w:hideMark/>
          </w:tcPr>
          <w:p w14:paraId="35BBA76C"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75C38BD3" w14:textId="77777777" w:rsidTr="006E5C07">
        <w:tc>
          <w:tcPr>
            <w:tcW w:w="2105" w:type="dxa"/>
            <w:gridSpan w:val="2"/>
            <w:tcMar>
              <w:top w:w="0" w:type="dxa"/>
              <w:left w:w="108" w:type="dxa"/>
              <w:bottom w:w="0" w:type="dxa"/>
              <w:right w:w="108" w:type="dxa"/>
            </w:tcMar>
            <w:hideMark/>
          </w:tcPr>
          <w:p w14:paraId="170ED487"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Revenue</w:t>
            </w:r>
          </w:p>
        </w:tc>
        <w:tc>
          <w:tcPr>
            <w:tcW w:w="837" w:type="dxa"/>
            <w:tcMar>
              <w:top w:w="0" w:type="dxa"/>
              <w:left w:w="108" w:type="dxa"/>
              <w:bottom w:w="0" w:type="dxa"/>
              <w:right w:w="108" w:type="dxa"/>
            </w:tcMar>
            <w:hideMark/>
          </w:tcPr>
          <w:p w14:paraId="2EFBEFD3"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3,511</w:t>
            </w:r>
          </w:p>
        </w:tc>
        <w:tc>
          <w:tcPr>
            <w:tcW w:w="837" w:type="dxa"/>
            <w:tcMar>
              <w:top w:w="0" w:type="dxa"/>
              <w:left w:w="108" w:type="dxa"/>
              <w:bottom w:w="0" w:type="dxa"/>
              <w:right w:w="108" w:type="dxa"/>
            </w:tcMar>
            <w:hideMark/>
          </w:tcPr>
          <w:p w14:paraId="122C2EA6"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312</w:t>
            </w:r>
          </w:p>
        </w:tc>
        <w:tc>
          <w:tcPr>
            <w:tcW w:w="736" w:type="dxa"/>
            <w:tcMar>
              <w:top w:w="0" w:type="dxa"/>
              <w:left w:w="108" w:type="dxa"/>
              <w:bottom w:w="0" w:type="dxa"/>
              <w:right w:w="108" w:type="dxa"/>
            </w:tcMar>
            <w:hideMark/>
          </w:tcPr>
          <w:p w14:paraId="4406443C"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2,839</w:t>
            </w:r>
          </w:p>
        </w:tc>
        <w:tc>
          <w:tcPr>
            <w:tcW w:w="746" w:type="dxa"/>
            <w:tcMar>
              <w:top w:w="0" w:type="dxa"/>
              <w:left w:w="108" w:type="dxa"/>
              <w:bottom w:w="0" w:type="dxa"/>
              <w:right w:w="108" w:type="dxa"/>
            </w:tcMar>
            <w:hideMark/>
          </w:tcPr>
          <w:p w14:paraId="3F7498E6"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993</w:t>
            </w:r>
          </w:p>
        </w:tc>
        <w:tc>
          <w:tcPr>
            <w:tcW w:w="668" w:type="dxa"/>
            <w:tcMar>
              <w:top w:w="0" w:type="dxa"/>
              <w:left w:w="108" w:type="dxa"/>
              <w:bottom w:w="0" w:type="dxa"/>
              <w:right w:w="108" w:type="dxa"/>
            </w:tcMar>
            <w:hideMark/>
          </w:tcPr>
          <w:p w14:paraId="771A86F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627" w:type="dxa"/>
            <w:tcMar>
              <w:top w:w="0" w:type="dxa"/>
              <w:left w:w="108" w:type="dxa"/>
              <w:bottom w:w="0" w:type="dxa"/>
              <w:right w:w="108" w:type="dxa"/>
            </w:tcMar>
            <w:hideMark/>
          </w:tcPr>
          <w:p w14:paraId="4FB9BD80"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742" w:type="dxa"/>
            <w:tcMar>
              <w:top w:w="0" w:type="dxa"/>
              <w:left w:w="108" w:type="dxa"/>
              <w:bottom w:w="0" w:type="dxa"/>
              <w:right w:w="108" w:type="dxa"/>
            </w:tcMar>
            <w:hideMark/>
          </w:tcPr>
          <w:p w14:paraId="23A7C1D3"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7,655</w:t>
            </w:r>
          </w:p>
        </w:tc>
      </w:tr>
      <w:tr w:rsidR="006E5C07" w:rsidRPr="006E5C07" w14:paraId="2198C6CC" w14:textId="77777777" w:rsidTr="006E5C07">
        <w:tc>
          <w:tcPr>
            <w:tcW w:w="2105" w:type="dxa"/>
            <w:gridSpan w:val="2"/>
            <w:tcMar>
              <w:top w:w="0" w:type="dxa"/>
              <w:left w:w="108" w:type="dxa"/>
              <w:bottom w:w="0" w:type="dxa"/>
              <w:right w:w="108" w:type="dxa"/>
            </w:tcMar>
            <w:hideMark/>
          </w:tcPr>
          <w:p w14:paraId="69D80520" w14:textId="77777777" w:rsidR="006E5C07" w:rsidRPr="006E5C07" w:rsidRDefault="006E5C07" w:rsidP="006E5C07">
            <w:pPr>
              <w:spacing w:after="0" w:line="240" w:lineRule="auto"/>
              <w:rPr>
                <w:rFonts w:ascii="Calibri" w:eastAsia="Times New Roman" w:hAnsi="Calibri" w:cs="Calibri"/>
              </w:rPr>
            </w:pPr>
          </w:p>
        </w:tc>
        <w:tc>
          <w:tcPr>
            <w:tcW w:w="837" w:type="dxa"/>
            <w:tcMar>
              <w:top w:w="0" w:type="dxa"/>
              <w:left w:w="108" w:type="dxa"/>
              <w:bottom w:w="0" w:type="dxa"/>
              <w:right w:w="108" w:type="dxa"/>
            </w:tcMar>
            <w:hideMark/>
          </w:tcPr>
          <w:p w14:paraId="1F4996FC" w14:textId="77777777" w:rsidR="006E5C07" w:rsidRPr="006E5C07" w:rsidRDefault="006E5C07" w:rsidP="006E5C07">
            <w:pPr>
              <w:spacing w:after="0" w:line="240" w:lineRule="auto"/>
              <w:jc w:val="right"/>
              <w:rPr>
                <w:rFonts w:ascii="Calibri" w:eastAsia="Times New Roman" w:hAnsi="Calibri" w:cs="Calibri"/>
              </w:rPr>
            </w:pPr>
          </w:p>
        </w:tc>
        <w:tc>
          <w:tcPr>
            <w:tcW w:w="837" w:type="dxa"/>
            <w:tcMar>
              <w:top w:w="0" w:type="dxa"/>
              <w:left w:w="108" w:type="dxa"/>
              <w:bottom w:w="0" w:type="dxa"/>
              <w:right w:w="108" w:type="dxa"/>
            </w:tcMar>
            <w:hideMark/>
          </w:tcPr>
          <w:p w14:paraId="65320CC6" w14:textId="77777777" w:rsidR="006E5C07" w:rsidRPr="006E5C07" w:rsidRDefault="006E5C07" w:rsidP="006E5C07">
            <w:pPr>
              <w:spacing w:after="0" w:line="240" w:lineRule="auto"/>
              <w:jc w:val="right"/>
              <w:rPr>
                <w:rFonts w:ascii="Calibri" w:eastAsia="Times New Roman" w:hAnsi="Calibri" w:cs="Calibri"/>
              </w:rPr>
            </w:pPr>
          </w:p>
        </w:tc>
        <w:tc>
          <w:tcPr>
            <w:tcW w:w="736" w:type="dxa"/>
            <w:tcMar>
              <w:top w:w="0" w:type="dxa"/>
              <w:left w:w="108" w:type="dxa"/>
              <w:bottom w:w="0" w:type="dxa"/>
              <w:right w:w="108" w:type="dxa"/>
            </w:tcMar>
            <w:hideMark/>
          </w:tcPr>
          <w:p w14:paraId="4C20EFDB" w14:textId="77777777" w:rsidR="006E5C07" w:rsidRPr="006E5C07" w:rsidRDefault="006E5C07" w:rsidP="006E5C07">
            <w:pPr>
              <w:spacing w:after="0" w:line="240" w:lineRule="auto"/>
              <w:jc w:val="right"/>
              <w:rPr>
                <w:rFonts w:ascii="Calibri" w:eastAsia="Times New Roman" w:hAnsi="Calibri" w:cs="Calibri"/>
              </w:rPr>
            </w:pPr>
          </w:p>
        </w:tc>
        <w:tc>
          <w:tcPr>
            <w:tcW w:w="746" w:type="dxa"/>
            <w:tcMar>
              <w:top w:w="0" w:type="dxa"/>
              <w:left w:w="108" w:type="dxa"/>
              <w:bottom w:w="0" w:type="dxa"/>
              <w:right w:w="108" w:type="dxa"/>
            </w:tcMar>
            <w:hideMark/>
          </w:tcPr>
          <w:p w14:paraId="269E7BED" w14:textId="77777777" w:rsidR="006E5C07" w:rsidRPr="006E5C07" w:rsidRDefault="006E5C07" w:rsidP="006E5C07">
            <w:pPr>
              <w:spacing w:after="0" w:line="240" w:lineRule="auto"/>
              <w:jc w:val="right"/>
              <w:rPr>
                <w:rFonts w:ascii="Calibri" w:eastAsia="Times New Roman" w:hAnsi="Calibri" w:cs="Calibri"/>
              </w:rPr>
            </w:pPr>
          </w:p>
        </w:tc>
        <w:tc>
          <w:tcPr>
            <w:tcW w:w="668" w:type="dxa"/>
            <w:tcMar>
              <w:top w:w="0" w:type="dxa"/>
              <w:left w:w="108" w:type="dxa"/>
              <w:bottom w:w="0" w:type="dxa"/>
              <w:right w:w="108" w:type="dxa"/>
            </w:tcMar>
            <w:hideMark/>
          </w:tcPr>
          <w:p w14:paraId="290504FF" w14:textId="77777777" w:rsidR="006E5C07" w:rsidRPr="006E5C07" w:rsidRDefault="006E5C07" w:rsidP="006E5C07">
            <w:pPr>
              <w:spacing w:after="0" w:line="240" w:lineRule="auto"/>
              <w:jc w:val="right"/>
              <w:rPr>
                <w:rFonts w:ascii="Calibri" w:eastAsia="Times New Roman" w:hAnsi="Calibri" w:cs="Calibri"/>
              </w:rPr>
            </w:pPr>
          </w:p>
        </w:tc>
        <w:tc>
          <w:tcPr>
            <w:tcW w:w="627" w:type="dxa"/>
            <w:tcMar>
              <w:top w:w="0" w:type="dxa"/>
              <w:left w:w="108" w:type="dxa"/>
              <w:bottom w:w="0" w:type="dxa"/>
              <w:right w:w="108" w:type="dxa"/>
            </w:tcMar>
            <w:hideMark/>
          </w:tcPr>
          <w:p w14:paraId="409D7291" w14:textId="77777777" w:rsidR="006E5C07" w:rsidRPr="006E5C07" w:rsidRDefault="006E5C07" w:rsidP="006E5C07">
            <w:pPr>
              <w:spacing w:after="0" w:line="240" w:lineRule="auto"/>
              <w:jc w:val="right"/>
              <w:rPr>
                <w:rFonts w:ascii="Calibri" w:eastAsia="Times New Roman" w:hAnsi="Calibri" w:cs="Calibri"/>
              </w:rPr>
            </w:pPr>
          </w:p>
        </w:tc>
        <w:tc>
          <w:tcPr>
            <w:tcW w:w="742" w:type="dxa"/>
            <w:tcMar>
              <w:top w:w="0" w:type="dxa"/>
              <w:left w:w="108" w:type="dxa"/>
              <w:bottom w:w="0" w:type="dxa"/>
              <w:right w:w="108" w:type="dxa"/>
            </w:tcMar>
            <w:hideMark/>
          </w:tcPr>
          <w:p w14:paraId="73410CE6"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5BA90810" w14:textId="77777777" w:rsidTr="006E5C07">
        <w:tc>
          <w:tcPr>
            <w:tcW w:w="2105" w:type="dxa"/>
            <w:gridSpan w:val="2"/>
            <w:tcMar>
              <w:top w:w="0" w:type="dxa"/>
              <w:left w:w="108" w:type="dxa"/>
              <w:bottom w:w="0" w:type="dxa"/>
              <w:right w:w="108" w:type="dxa"/>
            </w:tcMar>
            <w:hideMark/>
          </w:tcPr>
          <w:p w14:paraId="7D0F41AB"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Cost of sales</w:t>
            </w:r>
          </w:p>
        </w:tc>
        <w:tc>
          <w:tcPr>
            <w:tcW w:w="837" w:type="dxa"/>
            <w:tcMar>
              <w:top w:w="0" w:type="dxa"/>
              <w:left w:w="108" w:type="dxa"/>
              <w:bottom w:w="0" w:type="dxa"/>
              <w:right w:w="108" w:type="dxa"/>
            </w:tcMar>
            <w:hideMark/>
          </w:tcPr>
          <w:p w14:paraId="4D573AD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837" w:type="dxa"/>
            <w:tcMar>
              <w:top w:w="0" w:type="dxa"/>
              <w:left w:w="108" w:type="dxa"/>
              <w:bottom w:w="0" w:type="dxa"/>
              <w:right w:w="108" w:type="dxa"/>
            </w:tcMar>
            <w:hideMark/>
          </w:tcPr>
          <w:p w14:paraId="26798F3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36" w:type="dxa"/>
            <w:tcMar>
              <w:top w:w="0" w:type="dxa"/>
              <w:left w:w="108" w:type="dxa"/>
              <w:bottom w:w="0" w:type="dxa"/>
              <w:right w:w="108" w:type="dxa"/>
            </w:tcMar>
            <w:hideMark/>
          </w:tcPr>
          <w:p w14:paraId="2079136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(2,160)</w:t>
            </w:r>
          </w:p>
        </w:tc>
        <w:tc>
          <w:tcPr>
            <w:tcW w:w="746" w:type="dxa"/>
            <w:tcMar>
              <w:top w:w="0" w:type="dxa"/>
              <w:left w:w="108" w:type="dxa"/>
              <w:bottom w:w="0" w:type="dxa"/>
              <w:right w:w="108" w:type="dxa"/>
            </w:tcMar>
            <w:hideMark/>
          </w:tcPr>
          <w:p w14:paraId="5FE9C34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(705)</w:t>
            </w:r>
          </w:p>
        </w:tc>
        <w:tc>
          <w:tcPr>
            <w:tcW w:w="668" w:type="dxa"/>
            <w:tcMar>
              <w:top w:w="0" w:type="dxa"/>
              <w:left w:w="108" w:type="dxa"/>
              <w:bottom w:w="0" w:type="dxa"/>
              <w:right w:w="108" w:type="dxa"/>
            </w:tcMar>
            <w:hideMark/>
          </w:tcPr>
          <w:p w14:paraId="25F6A1B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27" w:type="dxa"/>
            <w:tcMar>
              <w:top w:w="0" w:type="dxa"/>
              <w:left w:w="108" w:type="dxa"/>
              <w:bottom w:w="0" w:type="dxa"/>
              <w:right w:w="108" w:type="dxa"/>
            </w:tcMar>
            <w:hideMark/>
          </w:tcPr>
          <w:p w14:paraId="01A5BDA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42" w:type="dxa"/>
            <w:tcMar>
              <w:top w:w="0" w:type="dxa"/>
              <w:left w:w="108" w:type="dxa"/>
              <w:bottom w:w="0" w:type="dxa"/>
              <w:right w:w="108" w:type="dxa"/>
            </w:tcMar>
            <w:hideMark/>
          </w:tcPr>
          <w:p w14:paraId="4E6A361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(2,865)</w:t>
            </w:r>
          </w:p>
        </w:tc>
      </w:tr>
      <w:tr w:rsidR="006E5C07" w:rsidRPr="006E5C07" w14:paraId="457C6646" w14:textId="77777777" w:rsidTr="006E5C07">
        <w:tc>
          <w:tcPr>
            <w:tcW w:w="2105" w:type="dxa"/>
            <w:gridSpan w:val="2"/>
            <w:tcMar>
              <w:top w:w="0" w:type="dxa"/>
              <w:left w:w="108" w:type="dxa"/>
              <w:bottom w:w="0" w:type="dxa"/>
              <w:right w:w="108" w:type="dxa"/>
            </w:tcMar>
            <w:hideMark/>
          </w:tcPr>
          <w:p w14:paraId="7EA7239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Administrative expenses</w:t>
            </w:r>
          </w:p>
        </w:tc>
        <w:tc>
          <w:tcPr>
            <w:tcW w:w="837" w:type="dxa"/>
            <w:tcMar>
              <w:top w:w="0" w:type="dxa"/>
              <w:left w:w="108" w:type="dxa"/>
              <w:bottom w:w="0" w:type="dxa"/>
              <w:right w:w="108" w:type="dxa"/>
            </w:tcMar>
            <w:hideMark/>
          </w:tcPr>
          <w:p w14:paraId="6D0DCA5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(2,436)</w:t>
            </w:r>
          </w:p>
        </w:tc>
        <w:tc>
          <w:tcPr>
            <w:tcW w:w="837" w:type="dxa"/>
            <w:tcMar>
              <w:top w:w="0" w:type="dxa"/>
              <w:left w:w="108" w:type="dxa"/>
              <w:bottom w:w="0" w:type="dxa"/>
              <w:right w:w="108" w:type="dxa"/>
            </w:tcMar>
            <w:hideMark/>
          </w:tcPr>
          <w:p w14:paraId="4517A3E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(303)</w:t>
            </w:r>
          </w:p>
        </w:tc>
        <w:tc>
          <w:tcPr>
            <w:tcW w:w="736" w:type="dxa"/>
            <w:tcMar>
              <w:top w:w="0" w:type="dxa"/>
              <w:left w:w="108" w:type="dxa"/>
              <w:bottom w:w="0" w:type="dxa"/>
              <w:right w:w="108" w:type="dxa"/>
            </w:tcMar>
            <w:hideMark/>
          </w:tcPr>
          <w:p w14:paraId="36F78EF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(272)</w:t>
            </w:r>
          </w:p>
        </w:tc>
        <w:tc>
          <w:tcPr>
            <w:tcW w:w="746" w:type="dxa"/>
            <w:tcMar>
              <w:top w:w="0" w:type="dxa"/>
              <w:left w:w="108" w:type="dxa"/>
              <w:bottom w:w="0" w:type="dxa"/>
              <w:right w:w="108" w:type="dxa"/>
            </w:tcMar>
            <w:hideMark/>
          </w:tcPr>
          <w:p w14:paraId="523550F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(986)</w:t>
            </w:r>
          </w:p>
        </w:tc>
        <w:tc>
          <w:tcPr>
            <w:tcW w:w="668" w:type="dxa"/>
            <w:tcMar>
              <w:top w:w="0" w:type="dxa"/>
              <w:left w:w="108" w:type="dxa"/>
              <w:bottom w:w="0" w:type="dxa"/>
              <w:right w:w="108" w:type="dxa"/>
            </w:tcMar>
            <w:hideMark/>
          </w:tcPr>
          <w:p w14:paraId="62709B8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(841)</w:t>
            </w:r>
          </w:p>
        </w:tc>
        <w:tc>
          <w:tcPr>
            <w:tcW w:w="627" w:type="dxa"/>
            <w:tcMar>
              <w:top w:w="0" w:type="dxa"/>
              <w:left w:w="108" w:type="dxa"/>
              <w:bottom w:w="0" w:type="dxa"/>
              <w:right w:w="108" w:type="dxa"/>
            </w:tcMar>
            <w:hideMark/>
          </w:tcPr>
          <w:p w14:paraId="150C5F6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42" w:type="dxa"/>
            <w:tcMar>
              <w:top w:w="0" w:type="dxa"/>
              <w:left w:w="108" w:type="dxa"/>
              <w:bottom w:w="0" w:type="dxa"/>
              <w:right w:w="108" w:type="dxa"/>
            </w:tcMar>
            <w:hideMark/>
          </w:tcPr>
          <w:p w14:paraId="16B554A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(4,838)</w:t>
            </w:r>
          </w:p>
        </w:tc>
      </w:tr>
      <w:tr w:rsidR="006E5C07" w:rsidRPr="006E5C07" w14:paraId="3FE96279" w14:textId="77777777" w:rsidTr="006E5C07">
        <w:tc>
          <w:tcPr>
            <w:tcW w:w="2105" w:type="dxa"/>
            <w:gridSpan w:val="2"/>
            <w:tcMar>
              <w:top w:w="0" w:type="dxa"/>
              <w:left w:w="108" w:type="dxa"/>
              <w:bottom w:w="0" w:type="dxa"/>
              <w:right w:w="108" w:type="dxa"/>
            </w:tcMar>
            <w:hideMark/>
          </w:tcPr>
          <w:p w14:paraId="506C77B3"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Other revenue</w:t>
            </w:r>
          </w:p>
        </w:tc>
        <w:tc>
          <w:tcPr>
            <w:tcW w:w="837" w:type="dxa"/>
            <w:tcMar>
              <w:top w:w="0" w:type="dxa"/>
              <w:left w:w="108" w:type="dxa"/>
              <w:bottom w:w="0" w:type="dxa"/>
              <w:right w:w="108" w:type="dxa"/>
            </w:tcMar>
            <w:hideMark/>
          </w:tcPr>
          <w:p w14:paraId="6C38F9E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837" w:type="dxa"/>
            <w:tcMar>
              <w:top w:w="0" w:type="dxa"/>
              <w:left w:w="108" w:type="dxa"/>
              <w:bottom w:w="0" w:type="dxa"/>
              <w:right w:w="108" w:type="dxa"/>
            </w:tcMar>
            <w:hideMark/>
          </w:tcPr>
          <w:p w14:paraId="60D8C22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74</w:t>
            </w:r>
          </w:p>
        </w:tc>
        <w:tc>
          <w:tcPr>
            <w:tcW w:w="736" w:type="dxa"/>
            <w:tcMar>
              <w:top w:w="0" w:type="dxa"/>
              <w:left w:w="108" w:type="dxa"/>
              <w:bottom w:w="0" w:type="dxa"/>
              <w:right w:w="108" w:type="dxa"/>
            </w:tcMar>
            <w:hideMark/>
          </w:tcPr>
          <w:p w14:paraId="769D2FE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46" w:type="dxa"/>
            <w:tcMar>
              <w:top w:w="0" w:type="dxa"/>
              <w:left w:w="108" w:type="dxa"/>
              <w:bottom w:w="0" w:type="dxa"/>
              <w:right w:w="108" w:type="dxa"/>
            </w:tcMar>
            <w:hideMark/>
          </w:tcPr>
          <w:p w14:paraId="074393A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101</w:t>
            </w:r>
          </w:p>
        </w:tc>
        <w:tc>
          <w:tcPr>
            <w:tcW w:w="668" w:type="dxa"/>
            <w:tcMar>
              <w:top w:w="0" w:type="dxa"/>
              <w:left w:w="108" w:type="dxa"/>
              <w:bottom w:w="0" w:type="dxa"/>
              <w:right w:w="108" w:type="dxa"/>
            </w:tcMar>
            <w:hideMark/>
          </w:tcPr>
          <w:p w14:paraId="468516E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27" w:type="dxa"/>
            <w:tcMar>
              <w:top w:w="0" w:type="dxa"/>
              <w:left w:w="108" w:type="dxa"/>
              <w:bottom w:w="0" w:type="dxa"/>
              <w:right w:w="108" w:type="dxa"/>
            </w:tcMar>
            <w:hideMark/>
          </w:tcPr>
          <w:p w14:paraId="7ACCB1E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42" w:type="dxa"/>
            <w:tcMar>
              <w:top w:w="0" w:type="dxa"/>
              <w:left w:w="108" w:type="dxa"/>
              <w:bottom w:w="0" w:type="dxa"/>
              <w:right w:w="108" w:type="dxa"/>
            </w:tcMar>
            <w:hideMark/>
          </w:tcPr>
          <w:p w14:paraId="19D29D4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175</w:t>
            </w:r>
          </w:p>
        </w:tc>
      </w:tr>
      <w:tr w:rsidR="006E5C07" w:rsidRPr="006E5C07" w14:paraId="3B3C7CC9" w14:textId="77777777" w:rsidTr="006E5C07">
        <w:tc>
          <w:tcPr>
            <w:tcW w:w="2105" w:type="dxa"/>
            <w:gridSpan w:val="2"/>
            <w:tcMar>
              <w:top w:w="0" w:type="dxa"/>
              <w:left w:w="108" w:type="dxa"/>
              <w:bottom w:w="0" w:type="dxa"/>
              <w:right w:w="108" w:type="dxa"/>
            </w:tcMar>
            <w:hideMark/>
          </w:tcPr>
          <w:p w14:paraId="77738B1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Loss associated with discontinued operation</w:t>
            </w:r>
          </w:p>
        </w:tc>
        <w:tc>
          <w:tcPr>
            <w:tcW w:w="837" w:type="dxa"/>
            <w:tcMar>
              <w:top w:w="0" w:type="dxa"/>
              <w:left w:w="108" w:type="dxa"/>
              <w:bottom w:w="0" w:type="dxa"/>
              <w:right w:w="108" w:type="dxa"/>
            </w:tcMar>
            <w:hideMark/>
          </w:tcPr>
          <w:p w14:paraId="26AB774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837" w:type="dxa"/>
            <w:tcMar>
              <w:top w:w="0" w:type="dxa"/>
              <w:left w:w="108" w:type="dxa"/>
              <w:bottom w:w="0" w:type="dxa"/>
              <w:right w:w="108" w:type="dxa"/>
            </w:tcMar>
            <w:hideMark/>
          </w:tcPr>
          <w:p w14:paraId="1B0B9FC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36" w:type="dxa"/>
            <w:tcMar>
              <w:top w:w="0" w:type="dxa"/>
              <w:left w:w="108" w:type="dxa"/>
              <w:bottom w:w="0" w:type="dxa"/>
              <w:right w:w="108" w:type="dxa"/>
            </w:tcMar>
            <w:hideMark/>
          </w:tcPr>
          <w:p w14:paraId="27FC9B7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46" w:type="dxa"/>
            <w:tcMar>
              <w:top w:w="0" w:type="dxa"/>
              <w:left w:w="108" w:type="dxa"/>
              <w:bottom w:w="0" w:type="dxa"/>
              <w:right w:w="108" w:type="dxa"/>
            </w:tcMar>
            <w:hideMark/>
          </w:tcPr>
          <w:p w14:paraId="20E4CA5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68" w:type="dxa"/>
            <w:tcMar>
              <w:top w:w="0" w:type="dxa"/>
              <w:left w:w="108" w:type="dxa"/>
              <w:bottom w:w="0" w:type="dxa"/>
              <w:right w:w="108" w:type="dxa"/>
            </w:tcMar>
            <w:hideMark/>
          </w:tcPr>
          <w:p w14:paraId="0434637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27" w:type="dxa"/>
            <w:tcMar>
              <w:top w:w="0" w:type="dxa"/>
              <w:left w:w="108" w:type="dxa"/>
              <w:bottom w:w="0" w:type="dxa"/>
              <w:right w:w="108" w:type="dxa"/>
            </w:tcMar>
            <w:hideMark/>
          </w:tcPr>
          <w:p w14:paraId="68D7EA7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(45)</w:t>
            </w:r>
          </w:p>
        </w:tc>
        <w:tc>
          <w:tcPr>
            <w:tcW w:w="742" w:type="dxa"/>
            <w:tcMar>
              <w:top w:w="0" w:type="dxa"/>
              <w:left w:w="108" w:type="dxa"/>
              <w:bottom w:w="0" w:type="dxa"/>
              <w:right w:w="108" w:type="dxa"/>
            </w:tcMar>
            <w:hideMark/>
          </w:tcPr>
          <w:p w14:paraId="3E4A160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(45)</w:t>
            </w:r>
          </w:p>
        </w:tc>
      </w:tr>
      <w:tr w:rsidR="006E5C07" w:rsidRPr="006E5C07" w14:paraId="7E0BA795" w14:textId="77777777" w:rsidTr="006E5C07">
        <w:tc>
          <w:tcPr>
            <w:tcW w:w="2105" w:type="dxa"/>
            <w:gridSpan w:val="2"/>
            <w:tcMar>
              <w:top w:w="0" w:type="dxa"/>
              <w:left w:w="108" w:type="dxa"/>
              <w:bottom w:w="0" w:type="dxa"/>
              <w:right w:w="108" w:type="dxa"/>
            </w:tcMar>
            <w:hideMark/>
          </w:tcPr>
          <w:p w14:paraId="1A8C0E3A" w14:textId="77777777" w:rsidR="006E5C07" w:rsidRPr="006E5C07" w:rsidRDefault="006E5C07" w:rsidP="006E5C07">
            <w:pPr>
              <w:spacing w:after="0" w:line="240" w:lineRule="auto"/>
              <w:rPr>
                <w:rFonts w:ascii="Calibri" w:eastAsia="Times New Roman" w:hAnsi="Calibri" w:cs="Calibri"/>
              </w:rPr>
            </w:pPr>
          </w:p>
        </w:tc>
        <w:tc>
          <w:tcPr>
            <w:tcW w:w="837" w:type="dxa"/>
            <w:tcBorders>
              <w:top w:val="nil"/>
              <w:left w:val="nil"/>
              <w:bottom w:val="single" w:sz="8" w:space="0" w:color="auto"/>
              <w:right w:val="nil"/>
            </w:tcBorders>
            <w:tcMar>
              <w:top w:w="0" w:type="dxa"/>
              <w:left w:w="108" w:type="dxa"/>
              <w:bottom w:w="0" w:type="dxa"/>
              <w:right w:w="108" w:type="dxa"/>
            </w:tcMar>
            <w:hideMark/>
          </w:tcPr>
          <w:p w14:paraId="0A0A8D6E" w14:textId="77777777" w:rsidR="006E5C07" w:rsidRPr="006E5C07" w:rsidRDefault="006E5C07" w:rsidP="006E5C07">
            <w:pPr>
              <w:spacing w:after="0" w:line="240" w:lineRule="auto"/>
              <w:jc w:val="right"/>
              <w:rPr>
                <w:rFonts w:ascii="Calibri" w:eastAsia="Times New Roman" w:hAnsi="Calibri" w:cs="Calibri"/>
              </w:rPr>
            </w:pPr>
          </w:p>
        </w:tc>
        <w:tc>
          <w:tcPr>
            <w:tcW w:w="837" w:type="dxa"/>
            <w:tcBorders>
              <w:top w:val="nil"/>
              <w:left w:val="nil"/>
              <w:bottom w:val="single" w:sz="8" w:space="0" w:color="auto"/>
              <w:right w:val="nil"/>
            </w:tcBorders>
            <w:tcMar>
              <w:top w:w="0" w:type="dxa"/>
              <w:left w:w="108" w:type="dxa"/>
              <w:bottom w:w="0" w:type="dxa"/>
              <w:right w:w="108" w:type="dxa"/>
            </w:tcMar>
            <w:hideMark/>
          </w:tcPr>
          <w:p w14:paraId="51E07DF1" w14:textId="77777777" w:rsidR="006E5C07" w:rsidRPr="006E5C07" w:rsidRDefault="006E5C07" w:rsidP="006E5C07">
            <w:pPr>
              <w:spacing w:after="0" w:line="240" w:lineRule="auto"/>
              <w:jc w:val="right"/>
              <w:rPr>
                <w:rFonts w:ascii="Calibri" w:eastAsia="Times New Roman" w:hAnsi="Calibri" w:cs="Calibri"/>
              </w:rPr>
            </w:pPr>
          </w:p>
        </w:tc>
        <w:tc>
          <w:tcPr>
            <w:tcW w:w="736" w:type="dxa"/>
            <w:tcBorders>
              <w:top w:val="nil"/>
              <w:left w:val="nil"/>
              <w:bottom w:val="single" w:sz="8" w:space="0" w:color="auto"/>
              <w:right w:val="nil"/>
            </w:tcBorders>
            <w:tcMar>
              <w:top w:w="0" w:type="dxa"/>
              <w:left w:w="108" w:type="dxa"/>
              <w:bottom w:w="0" w:type="dxa"/>
              <w:right w:w="108" w:type="dxa"/>
            </w:tcMar>
            <w:hideMark/>
          </w:tcPr>
          <w:p w14:paraId="2C4C5D3F" w14:textId="77777777" w:rsidR="006E5C07" w:rsidRPr="006E5C07" w:rsidRDefault="006E5C07" w:rsidP="006E5C07">
            <w:pPr>
              <w:spacing w:after="0" w:line="240" w:lineRule="auto"/>
              <w:jc w:val="right"/>
              <w:rPr>
                <w:rFonts w:ascii="Calibri" w:eastAsia="Times New Roman" w:hAnsi="Calibri" w:cs="Calibri"/>
              </w:rPr>
            </w:pPr>
          </w:p>
        </w:tc>
        <w:tc>
          <w:tcPr>
            <w:tcW w:w="746" w:type="dxa"/>
            <w:tcBorders>
              <w:top w:val="nil"/>
              <w:left w:val="nil"/>
              <w:bottom w:val="single" w:sz="8" w:space="0" w:color="auto"/>
              <w:right w:val="nil"/>
            </w:tcBorders>
            <w:tcMar>
              <w:top w:w="0" w:type="dxa"/>
              <w:left w:w="108" w:type="dxa"/>
              <w:bottom w:w="0" w:type="dxa"/>
              <w:right w:w="108" w:type="dxa"/>
            </w:tcMar>
            <w:hideMark/>
          </w:tcPr>
          <w:p w14:paraId="08A1F36F" w14:textId="77777777" w:rsidR="006E5C07" w:rsidRPr="006E5C07" w:rsidRDefault="006E5C07" w:rsidP="006E5C07">
            <w:pPr>
              <w:spacing w:after="0" w:line="240" w:lineRule="auto"/>
              <w:jc w:val="right"/>
              <w:rPr>
                <w:rFonts w:ascii="Calibri" w:eastAsia="Times New Roman" w:hAnsi="Calibri" w:cs="Calibri"/>
              </w:rPr>
            </w:pPr>
          </w:p>
        </w:tc>
        <w:tc>
          <w:tcPr>
            <w:tcW w:w="668" w:type="dxa"/>
            <w:tcBorders>
              <w:top w:val="nil"/>
              <w:left w:val="nil"/>
              <w:bottom w:val="single" w:sz="8" w:space="0" w:color="auto"/>
              <w:right w:val="nil"/>
            </w:tcBorders>
            <w:tcMar>
              <w:top w:w="0" w:type="dxa"/>
              <w:left w:w="108" w:type="dxa"/>
              <w:bottom w:w="0" w:type="dxa"/>
              <w:right w:w="108" w:type="dxa"/>
            </w:tcMar>
            <w:hideMark/>
          </w:tcPr>
          <w:p w14:paraId="4804AFFB" w14:textId="77777777" w:rsidR="006E5C07" w:rsidRPr="006E5C07" w:rsidRDefault="006E5C07" w:rsidP="006E5C07">
            <w:pPr>
              <w:spacing w:after="0" w:line="240" w:lineRule="auto"/>
              <w:jc w:val="right"/>
              <w:rPr>
                <w:rFonts w:ascii="Calibri" w:eastAsia="Times New Roman" w:hAnsi="Calibri" w:cs="Calibri"/>
              </w:rPr>
            </w:pPr>
          </w:p>
        </w:tc>
        <w:tc>
          <w:tcPr>
            <w:tcW w:w="627" w:type="dxa"/>
            <w:tcBorders>
              <w:top w:val="nil"/>
              <w:left w:val="nil"/>
              <w:bottom w:val="single" w:sz="8" w:space="0" w:color="auto"/>
              <w:right w:val="nil"/>
            </w:tcBorders>
            <w:tcMar>
              <w:top w:w="0" w:type="dxa"/>
              <w:left w:w="108" w:type="dxa"/>
              <w:bottom w:w="0" w:type="dxa"/>
              <w:right w:w="108" w:type="dxa"/>
            </w:tcMar>
            <w:hideMark/>
          </w:tcPr>
          <w:p w14:paraId="76E01509" w14:textId="77777777" w:rsidR="006E5C07" w:rsidRPr="006E5C07" w:rsidRDefault="006E5C07" w:rsidP="006E5C07">
            <w:pPr>
              <w:spacing w:after="0" w:line="240" w:lineRule="auto"/>
              <w:jc w:val="right"/>
              <w:rPr>
                <w:rFonts w:ascii="Calibri" w:eastAsia="Times New Roman" w:hAnsi="Calibri" w:cs="Calibri"/>
              </w:rPr>
            </w:pPr>
          </w:p>
        </w:tc>
        <w:tc>
          <w:tcPr>
            <w:tcW w:w="742" w:type="dxa"/>
            <w:tcBorders>
              <w:top w:val="nil"/>
              <w:left w:val="nil"/>
              <w:bottom w:val="single" w:sz="8" w:space="0" w:color="auto"/>
              <w:right w:val="nil"/>
            </w:tcBorders>
            <w:tcMar>
              <w:top w:w="0" w:type="dxa"/>
              <w:left w:w="108" w:type="dxa"/>
              <w:bottom w:w="0" w:type="dxa"/>
              <w:right w:w="108" w:type="dxa"/>
            </w:tcMar>
            <w:hideMark/>
          </w:tcPr>
          <w:p w14:paraId="0D93E6D8"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4073A49D" w14:textId="77777777" w:rsidTr="006E5C07">
        <w:tc>
          <w:tcPr>
            <w:tcW w:w="2105" w:type="dxa"/>
            <w:gridSpan w:val="2"/>
            <w:tcMar>
              <w:top w:w="0" w:type="dxa"/>
              <w:left w:w="108" w:type="dxa"/>
              <w:bottom w:w="0" w:type="dxa"/>
              <w:right w:w="108" w:type="dxa"/>
            </w:tcMar>
            <w:hideMark/>
          </w:tcPr>
          <w:p w14:paraId="20290B66"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Segment operating profit/(loss)</w:t>
            </w:r>
          </w:p>
        </w:tc>
        <w:tc>
          <w:tcPr>
            <w:tcW w:w="837" w:type="dxa"/>
            <w:tcBorders>
              <w:top w:val="nil"/>
              <w:left w:val="nil"/>
              <w:bottom w:val="nil"/>
              <w:right w:val="nil"/>
            </w:tcBorders>
            <w:tcMar>
              <w:top w:w="0" w:type="dxa"/>
              <w:left w:w="108" w:type="dxa"/>
              <w:bottom w:w="0" w:type="dxa"/>
              <w:right w:w="108" w:type="dxa"/>
            </w:tcMar>
            <w:hideMark/>
          </w:tcPr>
          <w:p w14:paraId="61A6FCBA"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1,075</w:t>
            </w:r>
          </w:p>
        </w:tc>
        <w:tc>
          <w:tcPr>
            <w:tcW w:w="837" w:type="dxa"/>
            <w:tcBorders>
              <w:top w:val="nil"/>
              <w:left w:val="nil"/>
              <w:bottom w:val="nil"/>
              <w:right w:val="nil"/>
            </w:tcBorders>
            <w:tcMar>
              <w:top w:w="0" w:type="dxa"/>
              <w:left w:w="108" w:type="dxa"/>
              <w:bottom w:w="0" w:type="dxa"/>
              <w:right w:w="108" w:type="dxa"/>
            </w:tcMar>
            <w:hideMark/>
          </w:tcPr>
          <w:p w14:paraId="5E3A6002"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83</w:t>
            </w:r>
          </w:p>
        </w:tc>
        <w:tc>
          <w:tcPr>
            <w:tcW w:w="736" w:type="dxa"/>
            <w:tcBorders>
              <w:top w:val="nil"/>
              <w:left w:val="nil"/>
              <w:bottom w:val="nil"/>
              <w:right w:val="nil"/>
            </w:tcBorders>
            <w:tcMar>
              <w:top w:w="0" w:type="dxa"/>
              <w:left w:w="108" w:type="dxa"/>
              <w:bottom w:w="0" w:type="dxa"/>
              <w:right w:w="108" w:type="dxa"/>
            </w:tcMar>
            <w:hideMark/>
          </w:tcPr>
          <w:p w14:paraId="008210E9"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407</w:t>
            </w:r>
          </w:p>
        </w:tc>
        <w:tc>
          <w:tcPr>
            <w:tcW w:w="746" w:type="dxa"/>
            <w:tcBorders>
              <w:top w:val="nil"/>
              <w:left w:val="nil"/>
              <w:bottom w:val="nil"/>
              <w:right w:val="nil"/>
            </w:tcBorders>
            <w:tcMar>
              <w:top w:w="0" w:type="dxa"/>
              <w:left w:w="108" w:type="dxa"/>
              <w:bottom w:w="0" w:type="dxa"/>
              <w:right w:w="108" w:type="dxa"/>
            </w:tcMar>
            <w:hideMark/>
          </w:tcPr>
          <w:p w14:paraId="18CF6881"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(597)</w:t>
            </w:r>
          </w:p>
        </w:tc>
        <w:tc>
          <w:tcPr>
            <w:tcW w:w="668" w:type="dxa"/>
            <w:tcBorders>
              <w:top w:val="nil"/>
              <w:left w:val="nil"/>
              <w:bottom w:val="nil"/>
              <w:right w:val="nil"/>
            </w:tcBorders>
            <w:tcMar>
              <w:top w:w="0" w:type="dxa"/>
              <w:left w:w="108" w:type="dxa"/>
              <w:bottom w:w="0" w:type="dxa"/>
              <w:right w:w="108" w:type="dxa"/>
            </w:tcMar>
            <w:hideMark/>
          </w:tcPr>
          <w:p w14:paraId="67E8D6A2"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(841)</w:t>
            </w:r>
          </w:p>
        </w:tc>
        <w:tc>
          <w:tcPr>
            <w:tcW w:w="627" w:type="dxa"/>
            <w:tcBorders>
              <w:top w:val="nil"/>
              <w:left w:val="nil"/>
              <w:bottom w:val="nil"/>
              <w:right w:val="nil"/>
            </w:tcBorders>
            <w:tcMar>
              <w:top w:w="0" w:type="dxa"/>
              <w:left w:w="108" w:type="dxa"/>
              <w:bottom w:w="0" w:type="dxa"/>
              <w:right w:w="108" w:type="dxa"/>
            </w:tcMar>
            <w:hideMark/>
          </w:tcPr>
          <w:p w14:paraId="6A7EEBEA"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(45)</w:t>
            </w:r>
          </w:p>
        </w:tc>
        <w:tc>
          <w:tcPr>
            <w:tcW w:w="742" w:type="dxa"/>
            <w:tcBorders>
              <w:top w:val="nil"/>
              <w:left w:val="nil"/>
              <w:bottom w:val="nil"/>
              <w:right w:val="nil"/>
            </w:tcBorders>
            <w:tcMar>
              <w:top w:w="0" w:type="dxa"/>
              <w:left w:w="108" w:type="dxa"/>
              <w:bottom w:w="0" w:type="dxa"/>
              <w:right w:w="108" w:type="dxa"/>
            </w:tcMar>
            <w:hideMark/>
          </w:tcPr>
          <w:p w14:paraId="222D571C"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82</w:t>
            </w:r>
          </w:p>
        </w:tc>
      </w:tr>
      <w:tr w:rsidR="006E5C07" w:rsidRPr="006E5C07" w14:paraId="70A81A00" w14:textId="77777777" w:rsidTr="006E5C07">
        <w:tc>
          <w:tcPr>
            <w:tcW w:w="2105" w:type="dxa"/>
            <w:gridSpan w:val="2"/>
            <w:tcMar>
              <w:top w:w="0" w:type="dxa"/>
              <w:left w:w="108" w:type="dxa"/>
              <w:bottom w:w="0" w:type="dxa"/>
              <w:right w:w="108" w:type="dxa"/>
            </w:tcMar>
            <w:hideMark/>
          </w:tcPr>
          <w:p w14:paraId="2F7EF3E7" w14:textId="77777777" w:rsidR="006E5C07" w:rsidRPr="006E5C07" w:rsidRDefault="006E5C07" w:rsidP="006E5C07">
            <w:pPr>
              <w:spacing w:after="0" w:line="240" w:lineRule="auto"/>
              <w:rPr>
                <w:rFonts w:ascii="Calibri" w:eastAsia="Times New Roman" w:hAnsi="Calibri" w:cs="Calibri"/>
                <w:b/>
                <w:bCs/>
              </w:rPr>
            </w:pPr>
          </w:p>
        </w:tc>
        <w:tc>
          <w:tcPr>
            <w:tcW w:w="837" w:type="dxa"/>
            <w:tcBorders>
              <w:top w:val="nil"/>
              <w:left w:val="nil"/>
              <w:bottom w:val="single" w:sz="8" w:space="0" w:color="auto"/>
              <w:right w:val="nil"/>
            </w:tcBorders>
            <w:tcMar>
              <w:top w:w="0" w:type="dxa"/>
              <w:left w:w="108" w:type="dxa"/>
              <w:bottom w:w="0" w:type="dxa"/>
              <w:right w:w="108" w:type="dxa"/>
            </w:tcMar>
            <w:hideMark/>
          </w:tcPr>
          <w:p w14:paraId="345FA8BB" w14:textId="77777777" w:rsidR="006E5C07" w:rsidRPr="006E5C07" w:rsidRDefault="006E5C07" w:rsidP="006E5C07">
            <w:pPr>
              <w:spacing w:after="0" w:line="240" w:lineRule="auto"/>
              <w:jc w:val="right"/>
              <w:rPr>
                <w:rFonts w:ascii="Calibri" w:eastAsia="Times New Roman" w:hAnsi="Calibri" w:cs="Calibri"/>
                <w:b/>
                <w:bCs/>
              </w:rPr>
            </w:pPr>
          </w:p>
        </w:tc>
        <w:tc>
          <w:tcPr>
            <w:tcW w:w="837" w:type="dxa"/>
            <w:tcBorders>
              <w:top w:val="nil"/>
              <w:left w:val="nil"/>
              <w:bottom w:val="single" w:sz="8" w:space="0" w:color="auto"/>
              <w:right w:val="nil"/>
            </w:tcBorders>
            <w:tcMar>
              <w:top w:w="0" w:type="dxa"/>
              <w:left w:w="108" w:type="dxa"/>
              <w:bottom w:w="0" w:type="dxa"/>
              <w:right w:w="108" w:type="dxa"/>
            </w:tcMar>
            <w:hideMark/>
          </w:tcPr>
          <w:p w14:paraId="54D8D02B" w14:textId="77777777" w:rsidR="006E5C07" w:rsidRPr="006E5C07" w:rsidRDefault="006E5C07" w:rsidP="006E5C07">
            <w:pPr>
              <w:spacing w:after="0" w:line="240" w:lineRule="auto"/>
              <w:jc w:val="right"/>
              <w:rPr>
                <w:rFonts w:ascii="Calibri" w:eastAsia="Times New Roman" w:hAnsi="Calibri" w:cs="Calibri"/>
                <w:b/>
                <w:bCs/>
              </w:rPr>
            </w:pPr>
          </w:p>
        </w:tc>
        <w:tc>
          <w:tcPr>
            <w:tcW w:w="736" w:type="dxa"/>
            <w:tcBorders>
              <w:top w:val="nil"/>
              <w:left w:val="nil"/>
              <w:bottom w:val="single" w:sz="8" w:space="0" w:color="auto"/>
              <w:right w:val="nil"/>
            </w:tcBorders>
            <w:tcMar>
              <w:top w:w="0" w:type="dxa"/>
              <w:left w:w="108" w:type="dxa"/>
              <w:bottom w:w="0" w:type="dxa"/>
              <w:right w:w="108" w:type="dxa"/>
            </w:tcMar>
            <w:hideMark/>
          </w:tcPr>
          <w:p w14:paraId="1CB6F157" w14:textId="77777777" w:rsidR="006E5C07" w:rsidRPr="006E5C07" w:rsidRDefault="006E5C07" w:rsidP="006E5C07">
            <w:pPr>
              <w:spacing w:after="0" w:line="240" w:lineRule="auto"/>
              <w:jc w:val="right"/>
              <w:rPr>
                <w:rFonts w:ascii="Calibri" w:eastAsia="Times New Roman" w:hAnsi="Calibri" w:cs="Calibri"/>
                <w:b/>
                <w:bCs/>
              </w:rPr>
            </w:pPr>
          </w:p>
        </w:tc>
        <w:tc>
          <w:tcPr>
            <w:tcW w:w="746" w:type="dxa"/>
            <w:tcBorders>
              <w:top w:val="nil"/>
              <w:left w:val="nil"/>
              <w:bottom w:val="single" w:sz="8" w:space="0" w:color="auto"/>
              <w:right w:val="nil"/>
            </w:tcBorders>
            <w:tcMar>
              <w:top w:w="0" w:type="dxa"/>
              <w:left w:w="108" w:type="dxa"/>
              <w:bottom w:w="0" w:type="dxa"/>
              <w:right w:w="108" w:type="dxa"/>
            </w:tcMar>
            <w:hideMark/>
          </w:tcPr>
          <w:p w14:paraId="315569C7" w14:textId="77777777" w:rsidR="006E5C07" w:rsidRPr="006E5C07" w:rsidRDefault="006E5C07" w:rsidP="006E5C07">
            <w:pPr>
              <w:spacing w:after="0" w:line="240" w:lineRule="auto"/>
              <w:jc w:val="right"/>
              <w:rPr>
                <w:rFonts w:ascii="Calibri" w:eastAsia="Times New Roman" w:hAnsi="Calibri" w:cs="Calibri"/>
                <w:b/>
                <w:bCs/>
              </w:rPr>
            </w:pPr>
          </w:p>
        </w:tc>
        <w:tc>
          <w:tcPr>
            <w:tcW w:w="668" w:type="dxa"/>
            <w:tcBorders>
              <w:top w:val="nil"/>
              <w:left w:val="nil"/>
              <w:bottom w:val="single" w:sz="8" w:space="0" w:color="auto"/>
              <w:right w:val="nil"/>
            </w:tcBorders>
            <w:tcMar>
              <w:top w:w="0" w:type="dxa"/>
              <w:left w:w="108" w:type="dxa"/>
              <w:bottom w:w="0" w:type="dxa"/>
              <w:right w:w="108" w:type="dxa"/>
            </w:tcMar>
            <w:hideMark/>
          </w:tcPr>
          <w:p w14:paraId="34C7C299" w14:textId="77777777" w:rsidR="006E5C07" w:rsidRPr="006E5C07" w:rsidRDefault="006E5C07" w:rsidP="006E5C07">
            <w:pPr>
              <w:spacing w:after="0" w:line="240" w:lineRule="auto"/>
              <w:jc w:val="right"/>
              <w:rPr>
                <w:rFonts w:ascii="Calibri" w:eastAsia="Times New Roman" w:hAnsi="Calibri" w:cs="Calibri"/>
                <w:b/>
                <w:bCs/>
              </w:rPr>
            </w:pPr>
          </w:p>
        </w:tc>
        <w:tc>
          <w:tcPr>
            <w:tcW w:w="627" w:type="dxa"/>
            <w:tcBorders>
              <w:top w:val="nil"/>
              <w:left w:val="nil"/>
              <w:bottom w:val="single" w:sz="8" w:space="0" w:color="auto"/>
              <w:right w:val="nil"/>
            </w:tcBorders>
            <w:tcMar>
              <w:top w:w="0" w:type="dxa"/>
              <w:left w:w="108" w:type="dxa"/>
              <w:bottom w:w="0" w:type="dxa"/>
              <w:right w:w="108" w:type="dxa"/>
            </w:tcMar>
            <w:hideMark/>
          </w:tcPr>
          <w:p w14:paraId="6E81301C" w14:textId="77777777" w:rsidR="006E5C07" w:rsidRPr="006E5C07" w:rsidRDefault="006E5C07" w:rsidP="006E5C07">
            <w:pPr>
              <w:spacing w:after="0" w:line="240" w:lineRule="auto"/>
              <w:jc w:val="right"/>
              <w:rPr>
                <w:rFonts w:ascii="Calibri" w:eastAsia="Times New Roman" w:hAnsi="Calibri" w:cs="Calibri"/>
                <w:b/>
                <w:bCs/>
              </w:rPr>
            </w:pPr>
          </w:p>
        </w:tc>
        <w:tc>
          <w:tcPr>
            <w:tcW w:w="742" w:type="dxa"/>
            <w:tcBorders>
              <w:top w:val="nil"/>
              <w:left w:val="nil"/>
              <w:bottom w:val="single" w:sz="8" w:space="0" w:color="auto"/>
              <w:right w:val="nil"/>
            </w:tcBorders>
            <w:tcMar>
              <w:top w:w="0" w:type="dxa"/>
              <w:left w:w="108" w:type="dxa"/>
              <w:bottom w:w="0" w:type="dxa"/>
              <w:right w:w="108" w:type="dxa"/>
            </w:tcMar>
            <w:hideMark/>
          </w:tcPr>
          <w:p w14:paraId="6D1F9BC7"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3AC0DB3A" w14:textId="77777777" w:rsidTr="006E5C07">
        <w:tc>
          <w:tcPr>
            <w:tcW w:w="2105" w:type="dxa"/>
            <w:gridSpan w:val="2"/>
            <w:tcMar>
              <w:top w:w="0" w:type="dxa"/>
              <w:left w:w="108" w:type="dxa"/>
              <w:bottom w:w="0" w:type="dxa"/>
              <w:right w:w="108" w:type="dxa"/>
            </w:tcMar>
            <w:hideMark/>
          </w:tcPr>
          <w:p w14:paraId="7BFA63D0" w14:textId="77777777" w:rsidR="006E5C07" w:rsidRPr="006E5C07" w:rsidRDefault="006E5C07" w:rsidP="006E5C07">
            <w:pPr>
              <w:spacing w:after="0" w:line="240" w:lineRule="auto"/>
              <w:rPr>
                <w:rFonts w:ascii="Calibri" w:eastAsia="Times New Roman" w:hAnsi="Calibri" w:cs="Calibri"/>
              </w:rPr>
            </w:pPr>
          </w:p>
        </w:tc>
        <w:tc>
          <w:tcPr>
            <w:tcW w:w="837" w:type="dxa"/>
            <w:tcMar>
              <w:top w:w="0" w:type="dxa"/>
              <w:left w:w="108" w:type="dxa"/>
              <w:bottom w:w="0" w:type="dxa"/>
              <w:right w:w="108" w:type="dxa"/>
            </w:tcMar>
            <w:hideMark/>
          </w:tcPr>
          <w:p w14:paraId="4FD41F78" w14:textId="77777777" w:rsidR="006E5C07" w:rsidRPr="006E5C07" w:rsidRDefault="006E5C07" w:rsidP="006E5C07">
            <w:pPr>
              <w:spacing w:after="0" w:line="240" w:lineRule="auto"/>
              <w:rPr>
                <w:rFonts w:ascii="Calibri" w:eastAsia="Times New Roman" w:hAnsi="Calibri" w:cs="Calibri"/>
              </w:rPr>
            </w:pPr>
          </w:p>
        </w:tc>
        <w:tc>
          <w:tcPr>
            <w:tcW w:w="837" w:type="dxa"/>
            <w:tcMar>
              <w:top w:w="0" w:type="dxa"/>
              <w:left w:w="108" w:type="dxa"/>
              <w:bottom w:w="0" w:type="dxa"/>
              <w:right w:w="108" w:type="dxa"/>
            </w:tcMar>
            <w:hideMark/>
          </w:tcPr>
          <w:p w14:paraId="17C810A5" w14:textId="77777777" w:rsidR="006E5C07" w:rsidRPr="006E5C07" w:rsidRDefault="006E5C07" w:rsidP="006E5C07">
            <w:pPr>
              <w:spacing w:after="0" w:line="240" w:lineRule="auto"/>
              <w:rPr>
                <w:rFonts w:ascii="Calibri" w:eastAsia="Times New Roman" w:hAnsi="Calibri" w:cs="Calibri"/>
              </w:rPr>
            </w:pPr>
          </w:p>
        </w:tc>
        <w:tc>
          <w:tcPr>
            <w:tcW w:w="736" w:type="dxa"/>
            <w:tcMar>
              <w:top w:w="0" w:type="dxa"/>
              <w:left w:w="108" w:type="dxa"/>
              <w:bottom w:w="0" w:type="dxa"/>
              <w:right w:w="108" w:type="dxa"/>
            </w:tcMar>
            <w:hideMark/>
          </w:tcPr>
          <w:p w14:paraId="71333971" w14:textId="77777777" w:rsidR="006E5C07" w:rsidRPr="006E5C07" w:rsidRDefault="006E5C07" w:rsidP="006E5C07">
            <w:pPr>
              <w:spacing w:after="0" w:line="240" w:lineRule="auto"/>
              <w:rPr>
                <w:rFonts w:ascii="Calibri" w:eastAsia="Times New Roman" w:hAnsi="Calibri" w:cs="Calibri"/>
              </w:rPr>
            </w:pPr>
          </w:p>
        </w:tc>
        <w:tc>
          <w:tcPr>
            <w:tcW w:w="746" w:type="dxa"/>
            <w:tcMar>
              <w:top w:w="0" w:type="dxa"/>
              <w:left w:w="108" w:type="dxa"/>
              <w:bottom w:w="0" w:type="dxa"/>
              <w:right w:w="108" w:type="dxa"/>
            </w:tcMar>
            <w:hideMark/>
          </w:tcPr>
          <w:p w14:paraId="552FAA65" w14:textId="77777777" w:rsidR="006E5C07" w:rsidRPr="006E5C07" w:rsidRDefault="006E5C07" w:rsidP="006E5C07">
            <w:pPr>
              <w:spacing w:after="0" w:line="240" w:lineRule="auto"/>
              <w:rPr>
                <w:rFonts w:ascii="Calibri" w:eastAsia="Times New Roman" w:hAnsi="Calibri" w:cs="Calibri"/>
              </w:rPr>
            </w:pPr>
          </w:p>
        </w:tc>
        <w:tc>
          <w:tcPr>
            <w:tcW w:w="668" w:type="dxa"/>
            <w:tcMar>
              <w:top w:w="0" w:type="dxa"/>
              <w:left w:w="108" w:type="dxa"/>
              <w:bottom w:w="0" w:type="dxa"/>
              <w:right w:w="108" w:type="dxa"/>
            </w:tcMar>
            <w:hideMark/>
          </w:tcPr>
          <w:p w14:paraId="20A8D8C2" w14:textId="77777777" w:rsidR="006E5C07" w:rsidRPr="006E5C07" w:rsidRDefault="006E5C07" w:rsidP="006E5C07">
            <w:pPr>
              <w:spacing w:after="0" w:line="240" w:lineRule="auto"/>
              <w:rPr>
                <w:rFonts w:ascii="Calibri" w:eastAsia="Times New Roman" w:hAnsi="Calibri" w:cs="Calibri"/>
              </w:rPr>
            </w:pPr>
          </w:p>
        </w:tc>
        <w:tc>
          <w:tcPr>
            <w:tcW w:w="627" w:type="dxa"/>
            <w:tcMar>
              <w:top w:w="0" w:type="dxa"/>
              <w:left w:w="108" w:type="dxa"/>
              <w:bottom w:w="0" w:type="dxa"/>
              <w:right w:w="108" w:type="dxa"/>
            </w:tcMar>
            <w:hideMark/>
          </w:tcPr>
          <w:p w14:paraId="08904BD1" w14:textId="77777777" w:rsidR="006E5C07" w:rsidRPr="006E5C07" w:rsidRDefault="006E5C07" w:rsidP="006E5C07">
            <w:pPr>
              <w:spacing w:after="0" w:line="240" w:lineRule="auto"/>
              <w:rPr>
                <w:rFonts w:ascii="Calibri" w:eastAsia="Times New Roman" w:hAnsi="Calibri" w:cs="Calibri"/>
              </w:rPr>
            </w:pPr>
          </w:p>
        </w:tc>
        <w:tc>
          <w:tcPr>
            <w:tcW w:w="742" w:type="dxa"/>
            <w:tcMar>
              <w:top w:w="0" w:type="dxa"/>
              <w:left w:w="108" w:type="dxa"/>
              <w:bottom w:w="0" w:type="dxa"/>
              <w:right w:w="108" w:type="dxa"/>
            </w:tcMar>
            <w:hideMark/>
          </w:tcPr>
          <w:p w14:paraId="22B95364" w14:textId="77777777" w:rsidR="006E5C07" w:rsidRPr="006E5C07" w:rsidRDefault="006E5C07" w:rsidP="006E5C07">
            <w:pPr>
              <w:spacing w:after="0" w:line="240" w:lineRule="auto"/>
              <w:rPr>
                <w:rFonts w:ascii="Calibri" w:eastAsia="Times New Roman" w:hAnsi="Calibri" w:cs="Calibri"/>
              </w:rPr>
            </w:pPr>
          </w:p>
        </w:tc>
      </w:tr>
      <w:tr w:rsidR="006E5C07" w:rsidRPr="006E5C07" w14:paraId="54D3A74F" w14:textId="77777777" w:rsidTr="006E5C07">
        <w:tc>
          <w:tcPr>
            <w:tcW w:w="2105" w:type="dxa"/>
            <w:gridSpan w:val="2"/>
            <w:tcMar>
              <w:top w:w="0" w:type="dxa"/>
              <w:left w:w="108" w:type="dxa"/>
              <w:bottom w:w="0" w:type="dxa"/>
              <w:right w:w="108" w:type="dxa"/>
            </w:tcMar>
            <w:hideMark/>
          </w:tcPr>
          <w:p w14:paraId="13A706E1"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Finance costs - continuing operations</w:t>
            </w:r>
          </w:p>
        </w:tc>
        <w:tc>
          <w:tcPr>
            <w:tcW w:w="837" w:type="dxa"/>
            <w:tcMar>
              <w:top w:w="0" w:type="dxa"/>
              <w:left w:w="108" w:type="dxa"/>
              <w:bottom w:w="0" w:type="dxa"/>
              <w:right w:w="108" w:type="dxa"/>
            </w:tcMar>
            <w:hideMark/>
          </w:tcPr>
          <w:p w14:paraId="09BFB22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(23)</w:t>
            </w:r>
          </w:p>
        </w:tc>
        <w:tc>
          <w:tcPr>
            <w:tcW w:w="837" w:type="dxa"/>
            <w:tcMar>
              <w:top w:w="0" w:type="dxa"/>
              <w:left w:w="108" w:type="dxa"/>
              <w:bottom w:w="0" w:type="dxa"/>
              <w:right w:w="108" w:type="dxa"/>
            </w:tcMar>
            <w:hideMark/>
          </w:tcPr>
          <w:p w14:paraId="1A22D99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36" w:type="dxa"/>
            <w:tcMar>
              <w:top w:w="0" w:type="dxa"/>
              <w:left w:w="108" w:type="dxa"/>
              <w:bottom w:w="0" w:type="dxa"/>
              <w:right w:w="108" w:type="dxa"/>
            </w:tcMar>
            <w:hideMark/>
          </w:tcPr>
          <w:p w14:paraId="460231A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46" w:type="dxa"/>
            <w:tcMar>
              <w:top w:w="0" w:type="dxa"/>
              <w:left w:w="108" w:type="dxa"/>
              <w:bottom w:w="0" w:type="dxa"/>
              <w:right w:w="108" w:type="dxa"/>
            </w:tcMar>
            <w:hideMark/>
          </w:tcPr>
          <w:p w14:paraId="5D37853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68" w:type="dxa"/>
            <w:tcMar>
              <w:top w:w="0" w:type="dxa"/>
              <w:left w:w="108" w:type="dxa"/>
              <w:bottom w:w="0" w:type="dxa"/>
              <w:right w:w="108" w:type="dxa"/>
            </w:tcMar>
            <w:hideMark/>
          </w:tcPr>
          <w:p w14:paraId="35FDAB7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27" w:type="dxa"/>
            <w:tcMar>
              <w:top w:w="0" w:type="dxa"/>
              <w:left w:w="108" w:type="dxa"/>
              <w:bottom w:w="0" w:type="dxa"/>
              <w:right w:w="108" w:type="dxa"/>
            </w:tcMar>
            <w:hideMark/>
          </w:tcPr>
          <w:p w14:paraId="5FA838C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42" w:type="dxa"/>
            <w:tcMar>
              <w:top w:w="0" w:type="dxa"/>
              <w:left w:w="108" w:type="dxa"/>
              <w:bottom w:w="0" w:type="dxa"/>
              <w:right w:w="108" w:type="dxa"/>
            </w:tcMar>
            <w:hideMark/>
          </w:tcPr>
          <w:p w14:paraId="5396A20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(23)</w:t>
            </w:r>
          </w:p>
        </w:tc>
      </w:tr>
      <w:tr w:rsidR="006E5C07" w:rsidRPr="006E5C07" w14:paraId="203327C6" w14:textId="77777777" w:rsidTr="006E5C07">
        <w:tc>
          <w:tcPr>
            <w:tcW w:w="2105" w:type="dxa"/>
            <w:gridSpan w:val="2"/>
            <w:tcMar>
              <w:top w:w="0" w:type="dxa"/>
              <w:left w:w="108" w:type="dxa"/>
              <w:bottom w:w="0" w:type="dxa"/>
              <w:right w:w="108" w:type="dxa"/>
            </w:tcMar>
            <w:hideMark/>
          </w:tcPr>
          <w:p w14:paraId="56C672B1"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Finance income - discontinued operation</w:t>
            </w:r>
          </w:p>
        </w:tc>
        <w:tc>
          <w:tcPr>
            <w:tcW w:w="837" w:type="dxa"/>
            <w:tcMar>
              <w:top w:w="0" w:type="dxa"/>
              <w:left w:w="108" w:type="dxa"/>
              <w:bottom w:w="0" w:type="dxa"/>
              <w:right w:w="108" w:type="dxa"/>
            </w:tcMar>
            <w:hideMark/>
          </w:tcPr>
          <w:p w14:paraId="162AC6D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837" w:type="dxa"/>
            <w:tcMar>
              <w:top w:w="0" w:type="dxa"/>
              <w:left w:w="108" w:type="dxa"/>
              <w:bottom w:w="0" w:type="dxa"/>
              <w:right w:w="108" w:type="dxa"/>
            </w:tcMar>
            <w:hideMark/>
          </w:tcPr>
          <w:p w14:paraId="021B1E7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36" w:type="dxa"/>
            <w:tcMar>
              <w:top w:w="0" w:type="dxa"/>
              <w:left w:w="108" w:type="dxa"/>
              <w:bottom w:w="0" w:type="dxa"/>
              <w:right w:w="108" w:type="dxa"/>
            </w:tcMar>
            <w:hideMark/>
          </w:tcPr>
          <w:p w14:paraId="656BA3F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46" w:type="dxa"/>
            <w:tcMar>
              <w:top w:w="0" w:type="dxa"/>
              <w:left w:w="108" w:type="dxa"/>
              <w:bottom w:w="0" w:type="dxa"/>
              <w:right w:w="108" w:type="dxa"/>
            </w:tcMar>
            <w:hideMark/>
          </w:tcPr>
          <w:p w14:paraId="6D7D856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68" w:type="dxa"/>
            <w:tcMar>
              <w:top w:w="0" w:type="dxa"/>
              <w:left w:w="108" w:type="dxa"/>
              <w:bottom w:w="0" w:type="dxa"/>
              <w:right w:w="108" w:type="dxa"/>
            </w:tcMar>
            <w:hideMark/>
          </w:tcPr>
          <w:p w14:paraId="0372E4D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627" w:type="dxa"/>
            <w:tcMar>
              <w:top w:w="0" w:type="dxa"/>
              <w:left w:w="108" w:type="dxa"/>
              <w:bottom w:w="0" w:type="dxa"/>
              <w:right w:w="108" w:type="dxa"/>
            </w:tcMar>
            <w:hideMark/>
          </w:tcPr>
          <w:p w14:paraId="69C280E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w:t>
            </w:r>
          </w:p>
        </w:tc>
        <w:tc>
          <w:tcPr>
            <w:tcW w:w="742" w:type="dxa"/>
            <w:tcMar>
              <w:top w:w="0" w:type="dxa"/>
              <w:left w:w="108" w:type="dxa"/>
              <w:bottom w:w="0" w:type="dxa"/>
              <w:right w:w="108" w:type="dxa"/>
            </w:tcMar>
            <w:hideMark/>
          </w:tcPr>
          <w:p w14:paraId="65D7BB2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w:t>
            </w:r>
          </w:p>
        </w:tc>
      </w:tr>
      <w:tr w:rsidR="006E5C07" w:rsidRPr="006E5C07" w14:paraId="09669904" w14:textId="77777777" w:rsidTr="006E5C07">
        <w:tc>
          <w:tcPr>
            <w:tcW w:w="2105" w:type="dxa"/>
            <w:gridSpan w:val="2"/>
            <w:tcMar>
              <w:top w:w="0" w:type="dxa"/>
              <w:left w:w="108" w:type="dxa"/>
              <w:bottom w:w="0" w:type="dxa"/>
              <w:right w:w="108" w:type="dxa"/>
            </w:tcMar>
            <w:hideMark/>
          </w:tcPr>
          <w:p w14:paraId="6589ACA5" w14:textId="77777777" w:rsidR="006E5C07" w:rsidRPr="006E5C07" w:rsidRDefault="006E5C07" w:rsidP="006E5C07">
            <w:pPr>
              <w:spacing w:after="0" w:line="240" w:lineRule="auto"/>
              <w:rPr>
                <w:rFonts w:ascii="Calibri" w:eastAsia="Times New Roman" w:hAnsi="Calibri" w:cs="Calibri"/>
              </w:rPr>
            </w:pPr>
          </w:p>
        </w:tc>
        <w:tc>
          <w:tcPr>
            <w:tcW w:w="837" w:type="dxa"/>
            <w:tcMar>
              <w:top w:w="0" w:type="dxa"/>
              <w:left w:w="108" w:type="dxa"/>
              <w:bottom w:w="0" w:type="dxa"/>
              <w:right w:w="108" w:type="dxa"/>
            </w:tcMar>
            <w:hideMark/>
          </w:tcPr>
          <w:p w14:paraId="6DB12E59" w14:textId="77777777" w:rsidR="006E5C07" w:rsidRPr="006E5C07" w:rsidRDefault="006E5C07" w:rsidP="006E5C07">
            <w:pPr>
              <w:spacing w:after="0" w:line="240" w:lineRule="auto"/>
              <w:jc w:val="right"/>
              <w:rPr>
                <w:rFonts w:ascii="Calibri" w:eastAsia="Times New Roman" w:hAnsi="Calibri" w:cs="Calibri"/>
              </w:rPr>
            </w:pPr>
          </w:p>
        </w:tc>
        <w:tc>
          <w:tcPr>
            <w:tcW w:w="837" w:type="dxa"/>
            <w:tcMar>
              <w:top w:w="0" w:type="dxa"/>
              <w:left w:w="108" w:type="dxa"/>
              <w:bottom w:w="0" w:type="dxa"/>
              <w:right w:w="108" w:type="dxa"/>
            </w:tcMar>
            <w:hideMark/>
          </w:tcPr>
          <w:p w14:paraId="414C0890" w14:textId="77777777" w:rsidR="006E5C07" w:rsidRPr="006E5C07" w:rsidRDefault="006E5C07" w:rsidP="006E5C07">
            <w:pPr>
              <w:spacing w:after="0" w:line="240" w:lineRule="auto"/>
              <w:jc w:val="right"/>
              <w:rPr>
                <w:rFonts w:ascii="Calibri" w:eastAsia="Times New Roman" w:hAnsi="Calibri" w:cs="Calibri"/>
              </w:rPr>
            </w:pPr>
          </w:p>
        </w:tc>
        <w:tc>
          <w:tcPr>
            <w:tcW w:w="736" w:type="dxa"/>
            <w:tcMar>
              <w:top w:w="0" w:type="dxa"/>
              <w:left w:w="108" w:type="dxa"/>
              <w:bottom w:w="0" w:type="dxa"/>
              <w:right w:w="108" w:type="dxa"/>
            </w:tcMar>
            <w:hideMark/>
          </w:tcPr>
          <w:p w14:paraId="1CF15C73" w14:textId="77777777" w:rsidR="006E5C07" w:rsidRPr="006E5C07" w:rsidRDefault="006E5C07" w:rsidP="006E5C07">
            <w:pPr>
              <w:spacing w:after="0" w:line="240" w:lineRule="auto"/>
              <w:jc w:val="right"/>
              <w:rPr>
                <w:rFonts w:ascii="Calibri" w:eastAsia="Times New Roman" w:hAnsi="Calibri" w:cs="Calibri"/>
              </w:rPr>
            </w:pPr>
          </w:p>
        </w:tc>
        <w:tc>
          <w:tcPr>
            <w:tcW w:w="746" w:type="dxa"/>
            <w:tcMar>
              <w:top w:w="0" w:type="dxa"/>
              <w:left w:w="108" w:type="dxa"/>
              <w:bottom w:w="0" w:type="dxa"/>
              <w:right w:w="108" w:type="dxa"/>
            </w:tcMar>
            <w:hideMark/>
          </w:tcPr>
          <w:p w14:paraId="72745CF9" w14:textId="77777777" w:rsidR="006E5C07" w:rsidRPr="006E5C07" w:rsidRDefault="006E5C07" w:rsidP="006E5C07">
            <w:pPr>
              <w:spacing w:after="0" w:line="240" w:lineRule="auto"/>
              <w:jc w:val="right"/>
              <w:rPr>
                <w:rFonts w:ascii="Calibri" w:eastAsia="Times New Roman" w:hAnsi="Calibri" w:cs="Calibri"/>
              </w:rPr>
            </w:pPr>
          </w:p>
        </w:tc>
        <w:tc>
          <w:tcPr>
            <w:tcW w:w="668" w:type="dxa"/>
            <w:tcMar>
              <w:top w:w="0" w:type="dxa"/>
              <w:left w:w="108" w:type="dxa"/>
              <w:bottom w:w="0" w:type="dxa"/>
              <w:right w:w="108" w:type="dxa"/>
            </w:tcMar>
            <w:hideMark/>
          </w:tcPr>
          <w:p w14:paraId="751FBB4F" w14:textId="77777777" w:rsidR="006E5C07" w:rsidRPr="006E5C07" w:rsidRDefault="006E5C07" w:rsidP="006E5C07">
            <w:pPr>
              <w:spacing w:after="0" w:line="240" w:lineRule="auto"/>
              <w:jc w:val="right"/>
              <w:rPr>
                <w:rFonts w:ascii="Calibri" w:eastAsia="Times New Roman" w:hAnsi="Calibri" w:cs="Calibri"/>
              </w:rPr>
            </w:pPr>
          </w:p>
        </w:tc>
        <w:tc>
          <w:tcPr>
            <w:tcW w:w="627" w:type="dxa"/>
            <w:tcMar>
              <w:top w:w="0" w:type="dxa"/>
              <w:left w:w="108" w:type="dxa"/>
              <w:bottom w:w="0" w:type="dxa"/>
              <w:right w:w="108" w:type="dxa"/>
            </w:tcMar>
            <w:hideMark/>
          </w:tcPr>
          <w:p w14:paraId="5D61B378" w14:textId="77777777" w:rsidR="006E5C07" w:rsidRPr="006E5C07" w:rsidRDefault="006E5C07" w:rsidP="006E5C07">
            <w:pPr>
              <w:spacing w:after="0" w:line="240" w:lineRule="auto"/>
              <w:jc w:val="right"/>
              <w:rPr>
                <w:rFonts w:ascii="Calibri" w:eastAsia="Times New Roman" w:hAnsi="Calibri" w:cs="Calibri"/>
              </w:rPr>
            </w:pPr>
          </w:p>
        </w:tc>
        <w:tc>
          <w:tcPr>
            <w:tcW w:w="742" w:type="dxa"/>
            <w:tcMar>
              <w:top w:w="0" w:type="dxa"/>
              <w:left w:w="108" w:type="dxa"/>
              <w:bottom w:w="0" w:type="dxa"/>
              <w:right w:w="108" w:type="dxa"/>
            </w:tcMar>
            <w:hideMark/>
          </w:tcPr>
          <w:p w14:paraId="082EE07C"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0F62AB7B" w14:textId="77777777" w:rsidTr="006E5C07">
        <w:tc>
          <w:tcPr>
            <w:tcW w:w="2105" w:type="dxa"/>
            <w:gridSpan w:val="2"/>
            <w:tcMar>
              <w:top w:w="0" w:type="dxa"/>
              <w:left w:w="108" w:type="dxa"/>
              <w:bottom w:w="0" w:type="dxa"/>
              <w:right w:w="108" w:type="dxa"/>
            </w:tcMar>
            <w:hideMark/>
          </w:tcPr>
          <w:p w14:paraId="4008E91F" w14:textId="77777777" w:rsidR="006E5C07" w:rsidRPr="006E5C07" w:rsidRDefault="006E5C07" w:rsidP="006E5C07">
            <w:pPr>
              <w:spacing w:after="0" w:line="240" w:lineRule="auto"/>
              <w:rPr>
                <w:rFonts w:ascii="Calibri" w:eastAsia="Times New Roman" w:hAnsi="Calibri" w:cs="Calibri"/>
              </w:rPr>
            </w:pPr>
          </w:p>
        </w:tc>
        <w:tc>
          <w:tcPr>
            <w:tcW w:w="837" w:type="dxa"/>
            <w:tcBorders>
              <w:top w:val="nil"/>
              <w:left w:val="nil"/>
              <w:bottom w:val="single" w:sz="8" w:space="0" w:color="auto"/>
              <w:right w:val="nil"/>
            </w:tcBorders>
            <w:tcMar>
              <w:top w:w="0" w:type="dxa"/>
              <w:left w:w="108" w:type="dxa"/>
              <w:bottom w:w="0" w:type="dxa"/>
              <w:right w:w="108" w:type="dxa"/>
            </w:tcMar>
            <w:hideMark/>
          </w:tcPr>
          <w:p w14:paraId="30E42CB8" w14:textId="77777777" w:rsidR="006E5C07" w:rsidRPr="006E5C07" w:rsidRDefault="006E5C07" w:rsidP="006E5C07">
            <w:pPr>
              <w:spacing w:after="0" w:line="240" w:lineRule="auto"/>
              <w:jc w:val="right"/>
              <w:rPr>
                <w:rFonts w:ascii="Calibri" w:eastAsia="Times New Roman" w:hAnsi="Calibri" w:cs="Calibri"/>
              </w:rPr>
            </w:pPr>
          </w:p>
        </w:tc>
        <w:tc>
          <w:tcPr>
            <w:tcW w:w="837" w:type="dxa"/>
            <w:tcBorders>
              <w:top w:val="nil"/>
              <w:left w:val="nil"/>
              <w:bottom w:val="single" w:sz="8" w:space="0" w:color="auto"/>
              <w:right w:val="nil"/>
            </w:tcBorders>
            <w:tcMar>
              <w:top w:w="0" w:type="dxa"/>
              <w:left w:w="108" w:type="dxa"/>
              <w:bottom w:w="0" w:type="dxa"/>
              <w:right w:w="108" w:type="dxa"/>
            </w:tcMar>
            <w:hideMark/>
          </w:tcPr>
          <w:p w14:paraId="3C945C3F" w14:textId="77777777" w:rsidR="006E5C07" w:rsidRPr="006E5C07" w:rsidRDefault="006E5C07" w:rsidP="006E5C07">
            <w:pPr>
              <w:spacing w:after="0" w:line="240" w:lineRule="auto"/>
              <w:jc w:val="right"/>
              <w:rPr>
                <w:rFonts w:ascii="Calibri" w:eastAsia="Times New Roman" w:hAnsi="Calibri" w:cs="Calibri"/>
              </w:rPr>
            </w:pPr>
          </w:p>
        </w:tc>
        <w:tc>
          <w:tcPr>
            <w:tcW w:w="736" w:type="dxa"/>
            <w:tcBorders>
              <w:top w:val="nil"/>
              <w:left w:val="nil"/>
              <w:bottom w:val="single" w:sz="8" w:space="0" w:color="auto"/>
              <w:right w:val="nil"/>
            </w:tcBorders>
            <w:tcMar>
              <w:top w:w="0" w:type="dxa"/>
              <w:left w:w="108" w:type="dxa"/>
              <w:bottom w:w="0" w:type="dxa"/>
              <w:right w:w="108" w:type="dxa"/>
            </w:tcMar>
            <w:hideMark/>
          </w:tcPr>
          <w:p w14:paraId="22A3A8B7" w14:textId="77777777" w:rsidR="006E5C07" w:rsidRPr="006E5C07" w:rsidRDefault="006E5C07" w:rsidP="006E5C07">
            <w:pPr>
              <w:spacing w:after="0" w:line="240" w:lineRule="auto"/>
              <w:jc w:val="right"/>
              <w:rPr>
                <w:rFonts w:ascii="Calibri" w:eastAsia="Times New Roman" w:hAnsi="Calibri" w:cs="Calibri"/>
              </w:rPr>
            </w:pPr>
          </w:p>
        </w:tc>
        <w:tc>
          <w:tcPr>
            <w:tcW w:w="746" w:type="dxa"/>
            <w:tcBorders>
              <w:top w:val="nil"/>
              <w:left w:val="nil"/>
              <w:bottom w:val="single" w:sz="8" w:space="0" w:color="auto"/>
              <w:right w:val="nil"/>
            </w:tcBorders>
            <w:tcMar>
              <w:top w:w="0" w:type="dxa"/>
              <w:left w:w="108" w:type="dxa"/>
              <w:bottom w:w="0" w:type="dxa"/>
              <w:right w:w="108" w:type="dxa"/>
            </w:tcMar>
            <w:hideMark/>
          </w:tcPr>
          <w:p w14:paraId="7B8C476C" w14:textId="77777777" w:rsidR="006E5C07" w:rsidRPr="006E5C07" w:rsidRDefault="006E5C07" w:rsidP="006E5C07">
            <w:pPr>
              <w:spacing w:after="0" w:line="240" w:lineRule="auto"/>
              <w:jc w:val="right"/>
              <w:rPr>
                <w:rFonts w:ascii="Calibri" w:eastAsia="Times New Roman" w:hAnsi="Calibri" w:cs="Calibri"/>
              </w:rPr>
            </w:pPr>
          </w:p>
        </w:tc>
        <w:tc>
          <w:tcPr>
            <w:tcW w:w="668" w:type="dxa"/>
            <w:tcBorders>
              <w:top w:val="nil"/>
              <w:left w:val="nil"/>
              <w:bottom w:val="single" w:sz="8" w:space="0" w:color="auto"/>
              <w:right w:val="nil"/>
            </w:tcBorders>
            <w:tcMar>
              <w:top w:w="0" w:type="dxa"/>
              <w:left w:w="108" w:type="dxa"/>
              <w:bottom w:w="0" w:type="dxa"/>
              <w:right w:w="108" w:type="dxa"/>
            </w:tcMar>
            <w:hideMark/>
          </w:tcPr>
          <w:p w14:paraId="4F9CFD5C" w14:textId="77777777" w:rsidR="006E5C07" w:rsidRPr="006E5C07" w:rsidRDefault="006E5C07" w:rsidP="006E5C07">
            <w:pPr>
              <w:spacing w:after="0" w:line="240" w:lineRule="auto"/>
              <w:jc w:val="right"/>
              <w:rPr>
                <w:rFonts w:ascii="Calibri" w:eastAsia="Times New Roman" w:hAnsi="Calibri" w:cs="Calibri"/>
              </w:rPr>
            </w:pPr>
          </w:p>
        </w:tc>
        <w:tc>
          <w:tcPr>
            <w:tcW w:w="627" w:type="dxa"/>
            <w:tcBorders>
              <w:top w:val="nil"/>
              <w:left w:val="nil"/>
              <w:bottom w:val="single" w:sz="8" w:space="0" w:color="auto"/>
              <w:right w:val="nil"/>
            </w:tcBorders>
            <w:tcMar>
              <w:top w:w="0" w:type="dxa"/>
              <w:left w:w="108" w:type="dxa"/>
              <w:bottom w:w="0" w:type="dxa"/>
              <w:right w:w="108" w:type="dxa"/>
            </w:tcMar>
            <w:hideMark/>
          </w:tcPr>
          <w:p w14:paraId="54B08777" w14:textId="77777777" w:rsidR="006E5C07" w:rsidRPr="006E5C07" w:rsidRDefault="006E5C07" w:rsidP="006E5C07">
            <w:pPr>
              <w:spacing w:after="0" w:line="240" w:lineRule="auto"/>
              <w:jc w:val="right"/>
              <w:rPr>
                <w:rFonts w:ascii="Calibri" w:eastAsia="Times New Roman" w:hAnsi="Calibri" w:cs="Calibri"/>
              </w:rPr>
            </w:pPr>
          </w:p>
        </w:tc>
        <w:tc>
          <w:tcPr>
            <w:tcW w:w="742" w:type="dxa"/>
            <w:tcBorders>
              <w:top w:val="nil"/>
              <w:left w:val="nil"/>
              <w:bottom w:val="single" w:sz="8" w:space="0" w:color="auto"/>
              <w:right w:val="nil"/>
            </w:tcBorders>
            <w:tcMar>
              <w:top w:w="0" w:type="dxa"/>
              <w:left w:w="108" w:type="dxa"/>
              <w:bottom w:w="0" w:type="dxa"/>
              <w:right w:w="108" w:type="dxa"/>
            </w:tcMar>
            <w:hideMark/>
          </w:tcPr>
          <w:p w14:paraId="1349C04B"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4FDB4D78" w14:textId="77777777" w:rsidTr="006E5C07">
        <w:tc>
          <w:tcPr>
            <w:tcW w:w="2105" w:type="dxa"/>
            <w:gridSpan w:val="2"/>
            <w:tcMar>
              <w:top w:w="0" w:type="dxa"/>
              <w:left w:w="108" w:type="dxa"/>
              <w:bottom w:w="0" w:type="dxa"/>
              <w:right w:w="108" w:type="dxa"/>
            </w:tcMar>
            <w:hideMark/>
          </w:tcPr>
          <w:p w14:paraId="575943EE"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Segment profit/(loss)</w:t>
            </w:r>
          </w:p>
        </w:tc>
        <w:tc>
          <w:tcPr>
            <w:tcW w:w="837" w:type="dxa"/>
            <w:tcBorders>
              <w:top w:val="nil"/>
              <w:left w:val="nil"/>
              <w:bottom w:val="nil"/>
              <w:right w:val="nil"/>
            </w:tcBorders>
            <w:tcMar>
              <w:top w:w="0" w:type="dxa"/>
              <w:left w:w="108" w:type="dxa"/>
              <w:bottom w:w="0" w:type="dxa"/>
              <w:right w:w="108" w:type="dxa"/>
            </w:tcMar>
            <w:hideMark/>
          </w:tcPr>
          <w:p w14:paraId="168FEEC9"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1,052</w:t>
            </w:r>
          </w:p>
        </w:tc>
        <w:tc>
          <w:tcPr>
            <w:tcW w:w="837" w:type="dxa"/>
            <w:tcBorders>
              <w:top w:val="nil"/>
              <w:left w:val="nil"/>
              <w:bottom w:val="nil"/>
              <w:right w:val="nil"/>
            </w:tcBorders>
            <w:tcMar>
              <w:top w:w="0" w:type="dxa"/>
              <w:left w:w="108" w:type="dxa"/>
              <w:bottom w:w="0" w:type="dxa"/>
              <w:right w:w="108" w:type="dxa"/>
            </w:tcMar>
            <w:hideMark/>
          </w:tcPr>
          <w:p w14:paraId="2AC84905"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83</w:t>
            </w:r>
          </w:p>
        </w:tc>
        <w:tc>
          <w:tcPr>
            <w:tcW w:w="736" w:type="dxa"/>
            <w:tcBorders>
              <w:top w:val="nil"/>
              <w:left w:val="nil"/>
              <w:bottom w:val="nil"/>
              <w:right w:val="nil"/>
            </w:tcBorders>
            <w:tcMar>
              <w:top w:w="0" w:type="dxa"/>
              <w:left w:w="108" w:type="dxa"/>
              <w:bottom w:w="0" w:type="dxa"/>
              <w:right w:w="108" w:type="dxa"/>
            </w:tcMar>
            <w:hideMark/>
          </w:tcPr>
          <w:p w14:paraId="60A620E7"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407</w:t>
            </w:r>
          </w:p>
        </w:tc>
        <w:tc>
          <w:tcPr>
            <w:tcW w:w="746" w:type="dxa"/>
            <w:tcBorders>
              <w:top w:val="nil"/>
              <w:left w:val="nil"/>
              <w:bottom w:val="nil"/>
              <w:right w:val="nil"/>
            </w:tcBorders>
            <w:tcMar>
              <w:top w:w="0" w:type="dxa"/>
              <w:left w:w="108" w:type="dxa"/>
              <w:bottom w:w="0" w:type="dxa"/>
              <w:right w:w="108" w:type="dxa"/>
            </w:tcMar>
            <w:hideMark/>
          </w:tcPr>
          <w:p w14:paraId="604920D2"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(597)</w:t>
            </w:r>
          </w:p>
        </w:tc>
        <w:tc>
          <w:tcPr>
            <w:tcW w:w="668" w:type="dxa"/>
            <w:tcBorders>
              <w:top w:val="nil"/>
              <w:left w:val="nil"/>
              <w:bottom w:val="nil"/>
              <w:right w:val="nil"/>
            </w:tcBorders>
            <w:tcMar>
              <w:top w:w="0" w:type="dxa"/>
              <w:left w:w="108" w:type="dxa"/>
              <w:bottom w:w="0" w:type="dxa"/>
              <w:right w:w="108" w:type="dxa"/>
            </w:tcMar>
            <w:hideMark/>
          </w:tcPr>
          <w:p w14:paraId="707D0F7F"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(841)</w:t>
            </w:r>
          </w:p>
        </w:tc>
        <w:tc>
          <w:tcPr>
            <w:tcW w:w="627" w:type="dxa"/>
            <w:tcBorders>
              <w:top w:val="nil"/>
              <w:left w:val="nil"/>
              <w:bottom w:val="nil"/>
              <w:right w:val="nil"/>
            </w:tcBorders>
            <w:tcMar>
              <w:top w:w="0" w:type="dxa"/>
              <w:left w:w="108" w:type="dxa"/>
              <w:bottom w:w="0" w:type="dxa"/>
              <w:right w:w="108" w:type="dxa"/>
            </w:tcMar>
            <w:hideMark/>
          </w:tcPr>
          <w:p w14:paraId="08C87AF8"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(41)</w:t>
            </w:r>
          </w:p>
        </w:tc>
        <w:tc>
          <w:tcPr>
            <w:tcW w:w="742" w:type="dxa"/>
            <w:tcBorders>
              <w:top w:val="nil"/>
              <w:left w:val="nil"/>
              <w:bottom w:val="nil"/>
              <w:right w:val="nil"/>
            </w:tcBorders>
            <w:tcMar>
              <w:top w:w="0" w:type="dxa"/>
              <w:left w:w="108" w:type="dxa"/>
              <w:bottom w:w="0" w:type="dxa"/>
              <w:right w:w="108" w:type="dxa"/>
            </w:tcMar>
            <w:hideMark/>
          </w:tcPr>
          <w:p w14:paraId="0E222B14"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63</w:t>
            </w:r>
          </w:p>
        </w:tc>
      </w:tr>
      <w:tr w:rsidR="006E5C07" w:rsidRPr="006E5C07" w14:paraId="0BC3D78F" w14:textId="77777777" w:rsidTr="006E5C07">
        <w:tc>
          <w:tcPr>
            <w:tcW w:w="2105" w:type="dxa"/>
            <w:gridSpan w:val="2"/>
            <w:tcMar>
              <w:top w:w="0" w:type="dxa"/>
              <w:left w:w="108" w:type="dxa"/>
              <w:bottom w:w="0" w:type="dxa"/>
              <w:right w:w="108" w:type="dxa"/>
            </w:tcMar>
            <w:hideMark/>
          </w:tcPr>
          <w:p w14:paraId="2B37DF12"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lastRenderedPageBreak/>
              <w:t>before taxation</w:t>
            </w:r>
          </w:p>
        </w:tc>
        <w:tc>
          <w:tcPr>
            <w:tcW w:w="837" w:type="dxa"/>
            <w:tcBorders>
              <w:top w:val="nil"/>
              <w:left w:val="nil"/>
              <w:bottom w:val="single" w:sz="12" w:space="0" w:color="auto"/>
              <w:right w:val="nil"/>
            </w:tcBorders>
            <w:tcMar>
              <w:top w:w="0" w:type="dxa"/>
              <w:left w:w="108" w:type="dxa"/>
              <w:bottom w:w="0" w:type="dxa"/>
              <w:right w:w="108" w:type="dxa"/>
            </w:tcMar>
            <w:hideMark/>
          </w:tcPr>
          <w:p w14:paraId="19756D4A" w14:textId="77777777" w:rsidR="006E5C07" w:rsidRPr="006E5C07" w:rsidRDefault="006E5C07" w:rsidP="006E5C07">
            <w:pPr>
              <w:spacing w:after="0" w:line="240" w:lineRule="auto"/>
              <w:jc w:val="right"/>
              <w:rPr>
                <w:rFonts w:ascii="Calibri" w:eastAsia="Times New Roman" w:hAnsi="Calibri" w:cs="Calibri"/>
                <w:b/>
                <w:bCs/>
              </w:rPr>
            </w:pPr>
          </w:p>
        </w:tc>
        <w:tc>
          <w:tcPr>
            <w:tcW w:w="837" w:type="dxa"/>
            <w:tcBorders>
              <w:top w:val="nil"/>
              <w:left w:val="nil"/>
              <w:bottom w:val="single" w:sz="12" w:space="0" w:color="auto"/>
              <w:right w:val="nil"/>
            </w:tcBorders>
            <w:tcMar>
              <w:top w:w="0" w:type="dxa"/>
              <w:left w:w="108" w:type="dxa"/>
              <w:bottom w:w="0" w:type="dxa"/>
              <w:right w:w="108" w:type="dxa"/>
            </w:tcMar>
            <w:hideMark/>
          </w:tcPr>
          <w:p w14:paraId="48EE68C1" w14:textId="77777777" w:rsidR="006E5C07" w:rsidRPr="006E5C07" w:rsidRDefault="006E5C07" w:rsidP="006E5C07">
            <w:pPr>
              <w:spacing w:after="0" w:line="240" w:lineRule="auto"/>
              <w:jc w:val="right"/>
              <w:rPr>
                <w:rFonts w:ascii="Calibri" w:eastAsia="Times New Roman" w:hAnsi="Calibri" w:cs="Calibri"/>
                <w:b/>
                <w:bCs/>
              </w:rPr>
            </w:pPr>
          </w:p>
        </w:tc>
        <w:tc>
          <w:tcPr>
            <w:tcW w:w="736" w:type="dxa"/>
            <w:tcBorders>
              <w:top w:val="nil"/>
              <w:left w:val="nil"/>
              <w:bottom w:val="single" w:sz="12" w:space="0" w:color="auto"/>
              <w:right w:val="nil"/>
            </w:tcBorders>
            <w:tcMar>
              <w:top w:w="0" w:type="dxa"/>
              <w:left w:w="108" w:type="dxa"/>
              <w:bottom w:w="0" w:type="dxa"/>
              <w:right w:w="108" w:type="dxa"/>
            </w:tcMar>
            <w:hideMark/>
          </w:tcPr>
          <w:p w14:paraId="7D3588C7" w14:textId="77777777" w:rsidR="006E5C07" w:rsidRPr="006E5C07" w:rsidRDefault="006E5C07" w:rsidP="006E5C07">
            <w:pPr>
              <w:spacing w:after="0" w:line="240" w:lineRule="auto"/>
              <w:jc w:val="right"/>
              <w:rPr>
                <w:rFonts w:ascii="Calibri" w:eastAsia="Times New Roman" w:hAnsi="Calibri" w:cs="Calibri"/>
                <w:b/>
                <w:bCs/>
              </w:rPr>
            </w:pPr>
          </w:p>
        </w:tc>
        <w:tc>
          <w:tcPr>
            <w:tcW w:w="746" w:type="dxa"/>
            <w:tcBorders>
              <w:top w:val="nil"/>
              <w:left w:val="nil"/>
              <w:bottom w:val="single" w:sz="12" w:space="0" w:color="auto"/>
              <w:right w:val="nil"/>
            </w:tcBorders>
            <w:tcMar>
              <w:top w:w="0" w:type="dxa"/>
              <w:left w:w="108" w:type="dxa"/>
              <w:bottom w:w="0" w:type="dxa"/>
              <w:right w:w="108" w:type="dxa"/>
            </w:tcMar>
            <w:hideMark/>
          </w:tcPr>
          <w:p w14:paraId="09CD443D" w14:textId="77777777" w:rsidR="006E5C07" w:rsidRPr="006E5C07" w:rsidRDefault="006E5C07" w:rsidP="006E5C07">
            <w:pPr>
              <w:spacing w:after="0" w:line="240" w:lineRule="auto"/>
              <w:jc w:val="right"/>
              <w:rPr>
                <w:rFonts w:ascii="Calibri" w:eastAsia="Times New Roman" w:hAnsi="Calibri" w:cs="Calibri"/>
                <w:b/>
                <w:bCs/>
              </w:rPr>
            </w:pPr>
          </w:p>
        </w:tc>
        <w:tc>
          <w:tcPr>
            <w:tcW w:w="668" w:type="dxa"/>
            <w:tcBorders>
              <w:top w:val="nil"/>
              <w:left w:val="nil"/>
              <w:bottom w:val="single" w:sz="12" w:space="0" w:color="auto"/>
              <w:right w:val="nil"/>
            </w:tcBorders>
            <w:tcMar>
              <w:top w:w="0" w:type="dxa"/>
              <w:left w:w="108" w:type="dxa"/>
              <w:bottom w:w="0" w:type="dxa"/>
              <w:right w:w="108" w:type="dxa"/>
            </w:tcMar>
            <w:hideMark/>
          </w:tcPr>
          <w:p w14:paraId="22BF9B13" w14:textId="77777777" w:rsidR="006E5C07" w:rsidRPr="006E5C07" w:rsidRDefault="006E5C07" w:rsidP="006E5C07">
            <w:pPr>
              <w:spacing w:after="0" w:line="240" w:lineRule="auto"/>
              <w:jc w:val="right"/>
              <w:rPr>
                <w:rFonts w:ascii="Calibri" w:eastAsia="Times New Roman" w:hAnsi="Calibri" w:cs="Calibri"/>
                <w:b/>
                <w:bCs/>
              </w:rPr>
            </w:pPr>
          </w:p>
        </w:tc>
        <w:tc>
          <w:tcPr>
            <w:tcW w:w="627" w:type="dxa"/>
            <w:tcBorders>
              <w:top w:val="nil"/>
              <w:left w:val="nil"/>
              <w:bottom w:val="single" w:sz="12" w:space="0" w:color="auto"/>
              <w:right w:val="nil"/>
            </w:tcBorders>
            <w:tcMar>
              <w:top w:w="0" w:type="dxa"/>
              <w:left w:w="108" w:type="dxa"/>
              <w:bottom w:w="0" w:type="dxa"/>
              <w:right w:w="108" w:type="dxa"/>
            </w:tcMar>
            <w:hideMark/>
          </w:tcPr>
          <w:p w14:paraId="2BACE33F" w14:textId="77777777" w:rsidR="006E5C07" w:rsidRPr="006E5C07" w:rsidRDefault="006E5C07" w:rsidP="006E5C07">
            <w:pPr>
              <w:spacing w:after="0" w:line="240" w:lineRule="auto"/>
              <w:jc w:val="right"/>
              <w:rPr>
                <w:rFonts w:ascii="Calibri" w:eastAsia="Times New Roman" w:hAnsi="Calibri" w:cs="Calibri"/>
                <w:b/>
                <w:bCs/>
              </w:rPr>
            </w:pPr>
          </w:p>
        </w:tc>
        <w:tc>
          <w:tcPr>
            <w:tcW w:w="742" w:type="dxa"/>
            <w:tcBorders>
              <w:top w:val="nil"/>
              <w:left w:val="nil"/>
              <w:bottom w:val="single" w:sz="12" w:space="0" w:color="auto"/>
              <w:right w:val="nil"/>
            </w:tcBorders>
            <w:tcMar>
              <w:top w:w="0" w:type="dxa"/>
              <w:left w:w="108" w:type="dxa"/>
              <w:bottom w:w="0" w:type="dxa"/>
              <w:right w:w="108" w:type="dxa"/>
            </w:tcMar>
            <w:hideMark/>
          </w:tcPr>
          <w:p w14:paraId="2296BC55"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748D2263" w14:textId="77777777" w:rsidTr="006E5C07">
        <w:tc>
          <w:tcPr>
            <w:tcW w:w="0" w:type="auto"/>
            <w:tcBorders>
              <w:top w:val="nil"/>
              <w:left w:val="nil"/>
              <w:bottom w:val="nil"/>
              <w:right w:val="nil"/>
            </w:tcBorders>
            <w:vAlign w:val="center"/>
            <w:hideMark/>
          </w:tcPr>
          <w:p w14:paraId="733131C8" w14:textId="77777777" w:rsidR="006E5C07" w:rsidRPr="006E5C07" w:rsidRDefault="006E5C07" w:rsidP="006E5C07">
            <w:pPr>
              <w:spacing w:after="0" w:line="240" w:lineRule="auto"/>
              <w:rPr>
                <w:rFonts w:ascii="Calibri" w:eastAsia="Times New Roman" w:hAnsi="Calibri" w:cs="Calibri"/>
                <w:b/>
                <w:bCs/>
              </w:rPr>
            </w:pPr>
          </w:p>
        </w:tc>
        <w:tc>
          <w:tcPr>
            <w:tcW w:w="0" w:type="auto"/>
            <w:tcBorders>
              <w:top w:val="nil"/>
              <w:left w:val="nil"/>
              <w:bottom w:val="nil"/>
              <w:right w:val="nil"/>
            </w:tcBorders>
            <w:vAlign w:val="center"/>
            <w:hideMark/>
          </w:tcPr>
          <w:p w14:paraId="414FC5A2" w14:textId="77777777" w:rsidR="006E5C07" w:rsidRPr="006E5C07" w:rsidRDefault="006E5C07" w:rsidP="006E5C0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2C5DBAFC" w14:textId="77777777" w:rsidR="006E5C07" w:rsidRPr="006E5C07" w:rsidRDefault="006E5C07" w:rsidP="006E5C0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22DB14F0" w14:textId="77777777" w:rsidR="006E5C07" w:rsidRPr="006E5C07" w:rsidRDefault="006E5C07" w:rsidP="006E5C0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49BF084A" w14:textId="77777777" w:rsidR="006E5C07" w:rsidRPr="006E5C07" w:rsidRDefault="006E5C07" w:rsidP="006E5C0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40ADD533" w14:textId="77777777" w:rsidR="006E5C07" w:rsidRPr="006E5C07" w:rsidRDefault="006E5C07" w:rsidP="006E5C0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67D8E8F5" w14:textId="77777777" w:rsidR="006E5C07" w:rsidRPr="006E5C07" w:rsidRDefault="006E5C07" w:rsidP="006E5C0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076DDA45" w14:textId="77777777" w:rsidR="006E5C07" w:rsidRPr="006E5C07" w:rsidRDefault="006E5C07" w:rsidP="006E5C0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1C5B45B0" w14:textId="77777777" w:rsidR="006E5C07" w:rsidRPr="006E5C07" w:rsidRDefault="006E5C07" w:rsidP="006E5C07">
            <w:pPr>
              <w:spacing w:after="0" w:line="240" w:lineRule="auto"/>
              <w:rPr>
                <w:rFonts w:ascii="Times New Roman" w:eastAsia="Times New Roman" w:hAnsi="Times New Roman" w:cs="Times New Roman"/>
                <w:sz w:val="20"/>
                <w:szCs w:val="20"/>
              </w:rPr>
            </w:pPr>
          </w:p>
        </w:tc>
      </w:tr>
    </w:tbl>
    <w:p w14:paraId="656D2BAB" w14:textId="77777777" w:rsidR="006E5C07" w:rsidRPr="006E5C07" w:rsidRDefault="006E5C07" w:rsidP="006E5C07">
      <w:pPr>
        <w:spacing w:line="253" w:lineRule="atLeast"/>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2149"/>
        <w:gridCol w:w="1006"/>
        <w:gridCol w:w="1006"/>
        <w:gridCol w:w="906"/>
        <w:gridCol w:w="967"/>
        <w:gridCol w:w="807"/>
        <w:gridCol w:w="916"/>
      </w:tblGrid>
      <w:tr w:rsidR="006E5C07" w:rsidRPr="006E5C07" w14:paraId="4FDD9269" w14:textId="77777777" w:rsidTr="006E5C07">
        <w:tc>
          <w:tcPr>
            <w:tcW w:w="2149" w:type="dxa"/>
            <w:tcMar>
              <w:top w:w="0" w:type="dxa"/>
              <w:left w:w="108" w:type="dxa"/>
              <w:bottom w:w="0" w:type="dxa"/>
              <w:right w:w="108" w:type="dxa"/>
            </w:tcMar>
            <w:hideMark/>
          </w:tcPr>
          <w:p w14:paraId="28313B21" w14:textId="77777777" w:rsidR="006E5C07" w:rsidRPr="006E5C07" w:rsidRDefault="006E5C07" w:rsidP="006E5C07">
            <w:pPr>
              <w:spacing w:after="0" w:line="240" w:lineRule="auto"/>
              <w:rPr>
                <w:rFonts w:ascii="Calibri" w:eastAsia="Times New Roman" w:hAnsi="Calibri" w:cs="Calibri"/>
                <w:u w:val="single"/>
              </w:rPr>
            </w:pPr>
            <w:r w:rsidRPr="006E5C07">
              <w:rPr>
                <w:rFonts w:ascii="Gill Sans MT" w:eastAsia="Times New Roman" w:hAnsi="Gill Sans MT" w:cs="Calibri"/>
                <w:sz w:val="18"/>
                <w:szCs w:val="18"/>
                <w:u w:val="single"/>
              </w:rPr>
              <w:t>Segment assets and</w:t>
            </w:r>
          </w:p>
        </w:tc>
        <w:tc>
          <w:tcPr>
            <w:tcW w:w="992" w:type="dxa"/>
            <w:tcMar>
              <w:top w:w="0" w:type="dxa"/>
              <w:left w:w="108" w:type="dxa"/>
              <w:bottom w:w="0" w:type="dxa"/>
              <w:right w:w="108" w:type="dxa"/>
            </w:tcMar>
            <w:hideMark/>
          </w:tcPr>
          <w:p w14:paraId="03B62C1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Promotion</w:t>
            </w:r>
          </w:p>
        </w:tc>
        <w:tc>
          <w:tcPr>
            <w:tcW w:w="993" w:type="dxa"/>
            <w:tcMar>
              <w:top w:w="0" w:type="dxa"/>
              <w:left w:w="108" w:type="dxa"/>
              <w:bottom w:w="0" w:type="dxa"/>
              <w:right w:w="108" w:type="dxa"/>
            </w:tcMar>
            <w:hideMark/>
          </w:tcPr>
          <w:p w14:paraId="7EC5622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Promotion</w:t>
            </w:r>
          </w:p>
        </w:tc>
        <w:tc>
          <w:tcPr>
            <w:tcW w:w="906" w:type="dxa"/>
            <w:tcMar>
              <w:top w:w="0" w:type="dxa"/>
              <w:left w:w="108" w:type="dxa"/>
              <w:bottom w:w="0" w:type="dxa"/>
              <w:right w:w="108" w:type="dxa"/>
            </w:tcMar>
            <w:hideMark/>
          </w:tcPr>
          <w:p w14:paraId="7553C4D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Retail</w:t>
            </w:r>
          </w:p>
        </w:tc>
        <w:tc>
          <w:tcPr>
            <w:tcW w:w="967" w:type="dxa"/>
            <w:tcMar>
              <w:top w:w="0" w:type="dxa"/>
              <w:left w:w="108" w:type="dxa"/>
              <w:bottom w:w="0" w:type="dxa"/>
              <w:right w:w="108" w:type="dxa"/>
            </w:tcMar>
            <w:hideMark/>
          </w:tcPr>
          <w:p w14:paraId="29B449C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Retail</w:t>
            </w:r>
          </w:p>
        </w:tc>
        <w:tc>
          <w:tcPr>
            <w:tcW w:w="807" w:type="dxa"/>
            <w:tcMar>
              <w:top w:w="0" w:type="dxa"/>
              <w:left w:w="108" w:type="dxa"/>
              <w:bottom w:w="0" w:type="dxa"/>
              <w:right w:w="108" w:type="dxa"/>
            </w:tcMar>
            <w:hideMark/>
          </w:tcPr>
          <w:p w14:paraId="047FE62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Other</w:t>
            </w:r>
          </w:p>
        </w:tc>
        <w:tc>
          <w:tcPr>
            <w:tcW w:w="916" w:type="dxa"/>
            <w:tcMar>
              <w:top w:w="0" w:type="dxa"/>
              <w:left w:w="108" w:type="dxa"/>
              <w:bottom w:w="0" w:type="dxa"/>
              <w:right w:w="108" w:type="dxa"/>
            </w:tcMar>
            <w:hideMark/>
          </w:tcPr>
          <w:p w14:paraId="39AD7E9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Group</w:t>
            </w:r>
          </w:p>
        </w:tc>
      </w:tr>
      <w:tr w:rsidR="006E5C07" w:rsidRPr="006E5C07" w14:paraId="58BCD445" w14:textId="77777777" w:rsidTr="006E5C07">
        <w:tc>
          <w:tcPr>
            <w:tcW w:w="2149" w:type="dxa"/>
            <w:tcMar>
              <w:top w:w="0" w:type="dxa"/>
              <w:left w:w="108" w:type="dxa"/>
              <w:bottom w:w="0" w:type="dxa"/>
              <w:right w:w="108" w:type="dxa"/>
            </w:tcMar>
            <w:hideMark/>
          </w:tcPr>
          <w:p w14:paraId="0246AB27" w14:textId="77777777" w:rsidR="006E5C07" w:rsidRPr="006E5C07" w:rsidRDefault="006E5C07" w:rsidP="006E5C07">
            <w:pPr>
              <w:spacing w:after="0" w:line="240" w:lineRule="auto"/>
              <w:rPr>
                <w:rFonts w:ascii="Calibri" w:eastAsia="Times New Roman" w:hAnsi="Calibri" w:cs="Calibri"/>
                <w:u w:val="single"/>
              </w:rPr>
            </w:pPr>
            <w:r w:rsidRPr="006E5C07">
              <w:rPr>
                <w:rFonts w:ascii="Gill Sans MT" w:eastAsia="Times New Roman" w:hAnsi="Gill Sans MT" w:cs="Calibri"/>
                <w:sz w:val="18"/>
                <w:szCs w:val="18"/>
                <w:u w:val="single"/>
              </w:rPr>
              <w:t>liabilities</w:t>
            </w:r>
          </w:p>
        </w:tc>
        <w:tc>
          <w:tcPr>
            <w:tcW w:w="992" w:type="dxa"/>
            <w:tcMar>
              <w:top w:w="0" w:type="dxa"/>
              <w:left w:w="108" w:type="dxa"/>
              <w:bottom w:w="0" w:type="dxa"/>
              <w:right w:w="108" w:type="dxa"/>
            </w:tcMar>
            <w:hideMark/>
          </w:tcPr>
          <w:p w14:paraId="6C20A4F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UK</w:t>
            </w:r>
          </w:p>
        </w:tc>
        <w:tc>
          <w:tcPr>
            <w:tcW w:w="993" w:type="dxa"/>
            <w:tcMar>
              <w:top w:w="0" w:type="dxa"/>
              <w:left w:w="108" w:type="dxa"/>
              <w:bottom w:w="0" w:type="dxa"/>
              <w:right w:w="108" w:type="dxa"/>
            </w:tcMar>
            <w:hideMark/>
          </w:tcPr>
          <w:p w14:paraId="3B64D77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Germany</w:t>
            </w:r>
          </w:p>
        </w:tc>
        <w:tc>
          <w:tcPr>
            <w:tcW w:w="906" w:type="dxa"/>
            <w:tcMar>
              <w:top w:w="0" w:type="dxa"/>
              <w:left w:w="108" w:type="dxa"/>
              <w:bottom w:w="0" w:type="dxa"/>
              <w:right w:w="108" w:type="dxa"/>
            </w:tcMar>
            <w:hideMark/>
          </w:tcPr>
          <w:p w14:paraId="26AA00D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UK</w:t>
            </w:r>
          </w:p>
        </w:tc>
        <w:tc>
          <w:tcPr>
            <w:tcW w:w="967" w:type="dxa"/>
            <w:tcMar>
              <w:top w:w="0" w:type="dxa"/>
              <w:left w:w="108" w:type="dxa"/>
              <w:bottom w:w="0" w:type="dxa"/>
              <w:right w:w="108" w:type="dxa"/>
            </w:tcMar>
            <w:hideMark/>
          </w:tcPr>
          <w:p w14:paraId="62EE019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Germany</w:t>
            </w:r>
          </w:p>
        </w:tc>
        <w:tc>
          <w:tcPr>
            <w:tcW w:w="807" w:type="dxa"/>
            <w:tcMar>
              <w:top w:w="0" w:type="dxa"/>
              <w:left w:w="108" w:type="dxa"/>
              <w:bottom w:w="0" w:type="dxa"/>
              <w:right w:w="108" w:type="dxa"/>
            </w:tcMar>
            <w:hideMark/>
          </w:tcPr>
          <w:p w14:paraId="5FBF78AF" w14:textId="77777777" w:rsidR="006E5C07" w:rsidRPr="006E5C07" w:rsidRDefault="006E5C07" w:rsidP="006E5C07">
            <w:pPr>
              <w:spacing w:after="0" w:line="240" w:lineRule="auto"/>
              <w:jc w:val="right"/>
              <w:rPr>
                <w:rFonts w:ascii="Calibri" w:eastAsia="Times New Roman" w:hAnsi="Calibri" w:cs="Calibri"/>
              </w:rPr>
            </w:pPr>
          </w:p>
        </w:tc>
        <w:tc>
          <w:tcPr>
            <w:tcW w:w="916" w:type="dxa"/>
            <w:tcMar>
              <w:top w:w="0" w:type="dxa"/>
              <w:left w:w="108" w:type="dxa"/>
              <w:bottom w:w="0" w:type="dxa"/>
              <w:right w:w="108" w:type="dxa"/>
            </w:tcMar>
            <w:hideMark/>
          </w:tcPr>
          <w:p w14:paraId="4F85BD52"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30A9D2B4" w14:textId="77777777" w:rsidTr="006E5C07">
        <w:tc>
          <w:tcPr>
            <w:tcW w:w="2149" w:type="dxa"/>
            <w:tcMar>
              <w:top w:w="0" w:type="dxa"/>
              <w:left w:w="108" w:type="dxa"/>
              <w:bottom w:w="0" w:type="dxa"/>
              <w:right w:w="108" w:type="dxa"/>
            </w:tcMar>
            <w:hideMark/>
          </w:tcPr>
          <w:p w14:paraId="5F2840F8" w14:textId="77777777" w:rsidR="006E5C07" w:rsidRPr="006E5C07" w:rsidRDefault="006E5C07" w:rsidP="006E5C07">
            <w:pPr>
              <w:spacing w:after="0" w:line="240" w:lineRule="auto"/>
              <w:rPr>
                <w:rFonts w:ascii="Calibri" w:eastAsia="Times New Roman" w:hAnsi="Calibri" w:cs="Calibri"/>
                <w:u w:val="single"/>
              </w:rPr>
            </w:pPr>
            <w:r w:rsidRPr="006E5C07">
              <w:rPr>
                <w:rFonts w:ascii="Gill Sans MT" w:eastAsia="Times New Roman" w:hAnsi="Gill Sans MT" w:cs="Calibri"/>
                <w:sz w:val="18"/>
                <w:szCs w:val="18"/>
                <w:u w:val="single"/>
              </w:rPr>
              <w:t>as at 31 December '19</w:t>
            </w:r>
          </w:p>
          <w:p w14:paraId="26514522" w14:textId="77777777" w:rsidR="006E5C07" w:rsidRPr="006E5C07" w:rsidRDefault="006E5C07" w:rsidP="006E5C07">
            <w:pPr>
              <w:spacing w:after="0" w:line="240" w:lineRule="auto"/>
              <w:rPr>
                <w:rFonts w:ascii="Calibri" w:eastAsia="Times New Roman" w:hAnsi="Calibri" w:cs="Calibri"/>
                <w:u w:val="single"/>
              </w:rPr>
            </w:pPr>
            <w:r w:rsidRPr="006E5C07">
              <w:rPr>
                <w:rFonts w:ascii="Gill Sans MT" w:eastAsia="Times New Roman" w:hAnsi="Gill Sans MT" w:cs="Calibri"/>
                <w:sz w:val="18"/>
                <w:szCs w:val="18"/>
                <w:u w:val="single"/>
              </w:rPr>
              <w:t>as restated</w:t>
            </w:r>
          </w:p>
          <w:p w14:paraId="16D5F76E"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tc>
        <w:tc>
          <w:tcPr>
            <w:tcW w:w="992" w:type="dxa"/>
            <w:tcMar>
              <w:top w:w="0" w:type="dxa"/>
              <w:left w:w="108" w:type="dxa"/>
              <w:bottom w:w="0" w:type="dxa"/>
              <w:right w:w="108" w:type="dxa"/>
            </w:tcMar>
            <w:hideMark/>
          </w:tcPr>
          <w:p w14:paraId="2981F4C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993" w:type="dxa"/>
            <w:tcMar>
              <w:top w:w="0" w:type="dxa"/>
              <w:left w:w="108" w:type="dxa"/>
              <w:bottom w:w="0" w:type="dxa"/>
              <w:right w:w="108" w:type="dxa"/>
            </w:tcMar>
            <w:hideMark/>
          </w:tcPr>
          <w:p w14:paraId="79984A8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906" w:type="dxa"/>
            <w:tcMar>
              <w:top w:w="0" w:type="dxa"/>
              <w:left w:w="108" w:type="dxa"/>
              <w:bottom w:w="0" w:type="dxa"/>
              <w:right w:w="108" w:type="dxa"/>
            </w:tcMar>
            <w:hideMark/>
          </w:tcPr>
          <w:p w14:paraId="626F63B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967" w:type="dxa"/>
            <w:tcMar>
              <w:top w:w="0" w:type="dxa"/>
              <w:left w:w="108" w:type="dxa"/>
              <w:bottom w:w="0" w:type="dxa"/>
              <w:right w:w="108" w:type="dxa"/>
            </w:tcMar>
            <w:hideMark/>
          </w:tcPr>
          <w:p w14:paraId="66518BD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807" w:type="dxa"/>
            <w:tcMar>
              <w:top w:w="0" w:type="dxa"/>
              <w:left w:w="108" w:type="dxa"/>
              <w:bottom w:w="0" w:type="dxa"/>
              <w:right w:w="108" w:type="dxa"/>
            </w:tcMar>
            <w:hideMark/>
          </w:tcPr>
          <w:p w14:paraId="616EBCE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916" w:type="dxa"/>
            <w:tcMar>
              <w:top w:w="0" w:type="dxa"/>
              <w:left w:w="108" w:type="dxa"/>
              <w:bottom w:w="0" w:type="dxa"/>
              <w:right w:w="108" w:type="dxa"/>
            </w:tcMar>
            <w:hideMark/>
          </w:tcPr>
          <w:p w14:paraId="7052B9A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47CC1083" w14:textId="77777777" w:rsidTr="006E5C07">
        <w:tc>
          <w:tcPr>
            <w:tcW w:w="2149" w:type="dxa"/>
            <w:tcMar>
              <w:top w:w="0" w:type="dxa"/>
              <w:left w:w="108" w:type="dxa"/>
              <w:bottom w:w="0" w:type="dxa"/>
              <w:right w:w="108" w:type="dxa"/>
            </w:tcMar>
            <w:hideMark/>
          </w:tcPr>
          <w:p w14:paraId="7E050759" w14:textId="77777777" w:rsidR="006E5C07" w:rsidRPr="006E5C07" w:rsidRDefault="006E5C07" w:rsidP="006E5C07">
            <w:pPr>
              <w:spacing w:after="0" w:line="240" w:lineRule="auto"/>
              <w:rPr>
                <w:rFonts w:ascii="Calibri" w:eastAsia="Times New Roman" w:hAnsi="Calibri" w:cs="Calibri"/>
              </w:rPr>
            </w:pPr>
          </w:p>
        </w:tc>
        <w:tc>
          <w:tcPr>
            <w:tcW w:w="992" w:type="dxa"/>
            <w:tcMar>
              <w:top w:w="0" w:type="dxa"/>
              <w:left w:w="108" w:type="dxa"/>
              <w:bottom w:w="0" w:type="dxa"/>
              <w:right w:w="108" w:type="dxa"/>
            </w:tcMar>
            <w:hideMark/>
          </w:tcPr>
          <w:p w14:paraId="21F7D7DF" w14:textId="77777777" w:rsidR="006E5C07" w:rsidRPr="006E5C07" w:rsidRDefault="006E5C07" w:rsidP="006E5C07">
            <w:pPr>
              <w:spacing w:after="0" w:line="240" w:lineRule="auto"/>
              <w:jc w:val="right"/>
              <w:rPr>
                <w:rFonts w:ascii="Calibri" w:eastAsia="Times New Roman" w:hAnsi="Calibri" w:cs="Calibri"/>
              </w:rPr>
            </w:pPr>
          </w:p>
        </w:tc>
        <w:tc>
          <w:tcPr>
            <w:tcW w:w="993" w:type="dxa"/>
            <w:tcMar>
              <w:top w:w="0" w:type="dxa"/>
              <w:left w:w="108" w:type="dxa"/>
              <w:bottom w:w="0" w:type="dxa"/>
              <w:right w:w="108" w:type="dxa"/>
            </w:tcMar>
            <w:hideMark/>
          </w:tcPr>
          <w:p w14:paraId="3C214746" w14:textId="77777777" w:rsidR="006E5C07" w:rsidRPr="006E5C07" w:rsidRDefault="006E5C07" w:rsidP="006E5C07">
            <w:pPr>
              <w:spacing w:after="0" w:line="240" w:lineRule="auto"/>
              <w:jc w:val="right"/>
              <w:rPr>
                <w:rFonts w:ascii="Calibri" w:eastAsia="Times New Roman" w:hAnsi="Calibri" w:cs="Calibri"/>
              </w:rPr>
            </w:pPr>
          </w:p>
        </w:tc>
        <w:tc>
          <w:tcPr>
            <w:tcW w:w="906" w:type="dxa"/>
            <w:tcMar>
              <w:top w:w="0" w:type="dxa"/>
              <w:left w:w="108" w:type="dxa"/>
              <w:bottom w:w="0" w:type="dxa"/>
              <w:right w:w="108" w:type="dxa"/>
            </w:tcMar>
            <w:hideMark/>
          </w:tcPr>
          <w:p w14:paraId="63B82A49" w14:textId="77777777" w:rsidR="006E5C07" w:rsidRPr="006E5C07" w:rsidRDefault="006E5C07" w:rsidP="006E5C07">
            <w:pPr>
              <w:spacing w:after="0" w:line="240" w:lineRule="auto"/>
              <w:jc w:val="right"/>
              <w:rPr>
                <w:rFonts w:ascii="Calibri" w:eastAsia="Times New Roman" w:hAnsi="Calibri" w:cs="Calibri"/>
              </w:rPr>
            </w:pPr>
          </w:p>
        </w:tc>
        <w:tc>
          <w:tcPr>
            <w:tcW w:w="967" w:type="dxa"/>
            <w:tcMar>
              <w:top w:w="0" w:type="dxa"/>
              <w:left w:w="108" w:type="dxa"/>
              <w:bottom w:w="0" w:type="dxa"/>
              <w:right w:w="108" w:type="dxa"/>
            </w:tcMar>
            <w:hideMark/>
          </w:tcPr>
          <w:p w14:paraId="2B3B14E7" w14:textId="77777777" w:rsidR="006E5C07" w:rsidRPr="006E5C07" w:rsidRDefault="006E5C07" w:rsidP="006E5C07">
            <w:pPr>
              <w:spacing w:after="0" w:line="240" w:lineRule="auto"/>
              <w:jc w:val="right"/>
              <w:rPr>
                <w:rFonts w:ascii="Calibri" w:eastAsia="Times New Roman" w:hAnsi="Calibri" w:cs="Calibri"/>
              </w:rPr>
            </w:pPr>
          </w:p>
        </w:tc>
        <w:tc>
          <w:tcPr>
            <w:tcW w:w="807" w:type="dxa"/>
            <w:tcMar>
              <w:top w:w="0" w:type="dxa"/>
              <w:left w:w="108" w:type="dxa"/>
              <w:bottom w:w="0" w:type="dxa"/>
              <w:right w:w="108" w:type="dxa"/>
            </w:tcMar>
            <w:hideMark/>
          </w:tcPr>
          <w:p w14:paraId="149DA85B" w14:textId="77777777" w:rsidR="006E5C07" w:rsidRPr="006E5C07" w:rsidRDefault="006E5C07" w:rsidP="006E5C07">
            <w:pPr>
              <w:spacing w:after="0" w:line="240" w:lineRule="auto"/>
              <w:jc w:val="right"/>
              <w:rPr>
                <w:rFonts w:ascii="Calibri" w:eastAsia="Times New Roman" w:hAnsi="Calibri" w:cs="Calibri"/>
              </w:rPr>
            </w:pPr>
          </w:p>
        </w:tc>
        <w:tc>
          <w:tcPr>
            <w:tcW w:w="916" w:type="dxa"/>
            <w:tcMar>
              <w:top w:w="0" w:type="dxa"/>
              <w:left w:w="108" w:type="dxa"/>
              <w:bottom w:w="0" w:type="dxa"/>
              <w:right w:w="108" w:type="dxa"/>
            </w:tcMar>
            <w:hideMark/>
          </w:tcPr>
          <w:p w14:paraId="7F5054A4"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1FFDB05E" w14:textId="77777777" w:rsidTr="006E5C07">
        <w:tc>
          <w:tcPr>
            <w:tcW w:w="2149" w:type="dxa"/>
            <w:tcMar>
              <w:top w:w="0" w:type="dxa"/>
              <w:left w:w="108" w:type="dxa"/>
              <w:bottom w:w="0" w:type="dxa"/>
              <w:right w:w="108" w:type="dxa"/>
            </w:tcMar>
            <w:hideMark/>
          </w:tcPr>
          <w:p w14:paraId="7AA25205"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Total segment assets</w:t>
            </w:r>
          </w:p>
        </w:tc>
        <w:tc>
          <w:tcPr>
            <w:tcW w:w="992" w:type="dxa"/>
            <w:tcMar>
              <w:top w:w="0" w:type="dxa"/>
              <w:left w:w="108" w:type="dxa"/>
              <w:bottom w:w="0" w:type="dxa"/>
              <w:right w:w="108" w:type="dxa"/>
            </w:tcMar>
            <w:hideMark/>
          </w:tcPr>
          <w:p w14:paraId="4031814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6,253</w:t>
            </w:r>
          </w:p>
        </w:tc>
        <w:tc>
          <w:tcPr>
            <w:tcW w:w="993" w:type="dxa"/>
            <w:tcMar>
              <w:top w:w="0" w:type="dxa"/>
              <w:left w:w="108" w:type="dxa"/>
              <w:bottom w:w="0" w:type="dxa"/>
              <w:right w:w="108" w:type="dxa"/>
            </w:tcMar>
            <w:hideMark/>
          </w:tcPr>
          <w:p w14:paraId="463862C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285</w:t>
            </w:r>
          </w:p>
        </w:tc>
        <w:tc>
          <w:tcPr>
            <w:tcW w:w="906" w:type="dxa"/>
            <w:tcMar>
              <w:top w:w="0" w:type="dxa"/>
              <w:left w:w="108" w:type="dxa"/>
              <w:bottom w:w="0" w:type="dxa"/>
              <w:right w:w="108" w:type="dxa"/>
            </w:tcMar>
            <w:hideMark/>
          </w:tcPr>
          <w:p w14:paraId="7C31F65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4,714</w:t>
            </w:r>
          </w:p>
        </w:tc>
        <w:tc>
          <w:tcPr>
            <w:tcW w:w="967" w:type="dxa"/>
            <w:tcMar>
              <w:top w:w="0" w:type="dxa"/>
              <w:left w:w="108" w:type="dxa"/>
              <w:bottom w:w="0" w:type="dxa"/>
              <w:right w:w="108" w:type="dxa"/>
            </w:tcMar>
            <w:hideMark/>
          </w:tcPr>
          <w:p w14:paraId="23C401C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738</w:t>
            </w:r>
          </w:p>
        </w:tc>
        <w:tc>
          <w:tcPr>
            <w:tcW w:w="807" w:type="dxa"/>
            <w:tcMar>
              <w:top w:w="0" w:type="dxa"/>
              <w:left w:w="108" w:type="dxa"/>
              <w:bottom w:w="0" w:type="dxa"/>
              <w:right w:w="108" w:type="dxa"/>
            </w:tcMar>
            <w:hideMark/>
          </w:tcPr>
          <w:p w14:paraId="3184321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568</w:t>
            </w:r>
          </w:p>
        </w:tc>
        <w:tc>
          <w:tcPr>
            <w:tcW w:w="916" w:type="dxa"/>
            <w:tcMar>
              <w:top w:w="0" w:type="dxa"/>
              <w:left w:w="108" w:type="dxa"/>
              <w:bottom w:w="0" w:type="dxa"/>
              <w:right w:w="108" w:type="dxa"/>
            </w:tcMar>
            <w:hideMark/>
          </w:tcPr>
          <w:p w14:paraId="3782623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12,558</w:t>
            </w:r>
          </w:p>
        </w:tc>
      </w:tr>
      <w:tr w:rsidR="006E5C07" w:rsidRPr="006E5C07" w14:paraId="346A581A" w14:textId="77777777" w:rsidTr="006E5C07">
        <w:tc>
          <w:tcPr>
            <w:tcW w:w="2149" w:type="dxa"/>
            <w:tcMar>
              <w:top w:w="0" w:type="dxa"/>
              <w:left w:w="108" w:type="dxa"/>
              <w:bottom w:w="0" w:type="dxa"/>
              <w:right w:w="108" w:type="dxa"/>
            </w:tcMar>
            <w:hideMark/>
          </w:tcPr>
          <w:p w14:paraId="6263D353" w14:textId="77777777" w:rsidR="006E5C07" w:rsidRPr="006E5C07" w:rsidRDefault="006E5C07" w:rsidP="006E5C07">
            <w:pPr>
              <w:spacing w:after="0" w:line="240" w:lineRule="auto"/>
              <w:rPr>
                <w:rFonts w:ascii="Calibri" w:eastAsia="Times New Roman" w:hAnsi="Calibri" w:cs="Calibri"/>
              </w:rPr>
            </w:pPr>
          </w:p>
        </w:tc>
        <w:tc>
          <w:tcPr>
            <w:tcW w:w="992" w:type="dxa"/>
            <w:tcMar>
              <w:top w:w="0" w:type="dxa"/>
              <w:left w:w="108" w:type="dxa"/>
              <w:bottom w:w="0" w:type="dxa"/>
              <w:right w:w="108" w:type="dxa"/>
            </w:tcMar>
            <w:hideMark/>
          </w:tcPr>
          <w:p w14:paraId="2AAEF471" w14:textId="77777777" w:rsidR="006E5C07" w:rsidRPr="006E5C07" w:rsidRDefault="006E5C07" w:rsidP="006E5C07">
            <w:pPr>
              <w:spacing w:after="0" w:line="240" w:lineRule="auto"/>
              <w:jc w:val="right"/>
              <w:rPr>
                <w:rFonts w:ascii="Calibri" w:eastAsia="Times New Roman" w:hAnsi="Calibri" w:cs="Calibri"/>
              </w:rPr>
            </w:pPr>
          </w:p>
        </w:tc>
        <w:tc>
          <w:tcPr>
            <w:tcW w:w="993" w:type="dxa"/>
            <w:tcMar>
              <w:top w:w="0" w:type="dxa"/>
              <w:left w:w="108" w:type="dxa"/>
              <w:bottom w:w="0" w:type="dxa"/>
              <w:right w:w="108" w:type="dxa"/>
            </w:tcMar>
            <w:hideMark/>
          </w:tcPr>
          <w:p w14:paraId="14E44C00" w14:textId="77777777" w:rsidR="006E5C07" w:rsidRPr="006E5C07" w:rsidRDefault="006E5C07" w:rsidP="006E5C07">
            <w:pPr>
              <w:spacing w:after="0" w:line="240" w:lineRule="auto"/>
              <w:jc w:val="right"/>
              <w:rPr>
                <w:rFonts w:ascii="Calibri" w:eastAsia="Times New Roman" w:hAnsi="Calibri" w:cs="Calibri"/>
              </w:rPr>
            </w:pPr>
          </w:p>
        </w:tc>
        <w:tc>
          <w:tcPr>
            <w:tcW w:w="906" w:type="dxa"/>
            <w:tcMar>
              <w:top w:w="0" w:type="dxa"/>
              <w:left w:w="108" w:type="dxa"/>
              <w:bottom w:w="0" w:type="dxa"/>
              <w:right w:w="108" w:type="dxa"/>
            </w:tcMar>
            <w:hideMark/>
          </w:tcPr>
          <w:p w14:paraId="15445147" w14:textId="77777777" w:rsidR="006E5C07" w:rsidRPr="006E5C07" w:rsidRDefault="006E5C07" w:rsidP="006E5C07">
            <w:pPr>
              <w:spacing w:after="0" w:line="240" w:lineRule="auto"/>
              <w:jc w:val="right"/>
              <w:rPr>
                <w:rFonts w:ascii="Calibri" w:eastAsia="Times New Roman" w:hAnsi="Calibri" w:cs="Calibri"/>
              </w:rPr>
            </w:pPr>
          </w:p>
        </w:tc>
        <w:tc>
          <w:tcPr>
            <w:tcW w:w="967" w:type="dxa"/>
            <w:tcMar>
              <w:top w:w="0" w:type="dxa"/>
              <w:left w:w="108" w:type="dxa"/>
              <w:bottom w:w="0" w:type="dxa"/>
              <w:right w:w="108" w:type="dxa"/>
            </w:tcMar>
            <w:hideMark/>
          </w:tcPr>
          <w:p w14:paraId="78EEC9E3" w14:textId="77777777" w:rsidR="006E5C07" w:rsidRPr="006E5C07" w:rsidRDefault="006E5C07" w:rsidP="006E5C07">
            <w:pPr>
              <w:spacing w:after="0" w:line="240" w:lineRule="auto"/>
              <w:jc w:val="right"/>
              <w:rPr>
                <w:rFonts w:ascii="Calibri" w:eastAsia="Times New Roman" w:hAnsi="Calibri" w:cs="Calibri"/>
              </w:rPr>
            </w:pPr>
          </w:p>
        </w:tc>
        <w:tc>
          <w:tcPr>
            <w:tcW w:w="807" w:type="dxa"/>
            <w:tcMar>
              <w:top w:w="0" w:type="dxa"/>
              <w:left w:w="108" w:type="dxa"/>
              <w:bottom w:w="0" w:type="dxa"/>
              <w:right w:w="108" w:type="dxa"/>
            </w:tcMar>
            <w:hideMark/>
          </w:tcPr>
          <w:p w14:paraId="7BC3F309" w14:textId="77777777" w:rsidR="006E5C07" w:rsidRPr="006E5C07" w:rsidRDefault="006E5C07" w:rsidP="006E5C07">
            <w:pPr>
              <w:spacing w:after="0" w:line="240" w:lineRule="auto"/>
              <w:jc w:val="right"/>
              <w:rPr>
                <w:rFonts w:ascii="Calibri" w:eastAsia="Times New Roman" w:hAnsi="Calibri" w:cs="Calibri"/>
              </w:rPr>
            </w:pPr>
          </w:p>
        </w:tc>
        <w:tc>
          <w:tcPr>
            <w:tcW w:w="916" w:type="dxa"/>
            <w:tcMar>
              <w:top w:w="0" w:type="dxa"/>
              <w:left w:w="108" w:type="dxa"/>
              <w:bottom w:w="0" w:type="dxa"/>
              <w:right w:w="108" w:type="dxa"/>
            </w:tcMar>
            <w:hideMark/>
          </w:tcPr>
          <w:p w14:paraId="274F9DED"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6412F230" w14:textId="77777777" w:rsidTr="006E5C07">
        <w:tc>
          <w:tcPr>
            <w:tcW w:w="2149" w:type="dxa"/>
            <w:tcMar>
              <w:top w:w="0" w:type="dxa"/>
              <w:left w:w="108" w:type="dxa"/>
              <w:bottom w:w="0" w:type="dxa"/>
              <w:right w:w="108" w:type="dxa"/>
            </w:tcMar>
            <w:hideMark/>
          </w:tcPr>
          <w:p w14:paraId="6EC2B077"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Total segment liabilities</w:t>
            </w:r>
          </w:p>
        </w:tc>
        <w:tc>
          <w:tcPr>
            <w:tcW w:w="992" w:type="dxa"/>
            <w:tcMar>
              <w:top w:w="0" w:type="dxa"/>
              <w:left w:w="108" w:type="dxa"/>
              <w:bottom w:w="0" w:type="dxa"/>
              <w:right w:w="108" w:type="dxa"/>
            </w:tcMar>
            <w:hideMark/>
          </w:tcPr>
          <w:p w14:paraId="3DF8A8F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(2,897)</w:t>
            </w:r>
          </w:p>
        </w:tc>
        <w:tc>
          <w:tcPr>
            <w:tcW w:w="993" w:type="dxa"/>
            <w:tcMar>
              <w:top w:w="0" w:type="dxa"/>
              <w:left w:w="108" w:type="dxa"/>
              <w:bottom w:w="0" w:type="dxa"/>
              <w:right w:w="108" w:type="dxa"/>
            </w:tcMar>
            <w:hideMark/>
          </w:tcPr>
          <w:p w14:paraId="0776B63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(72)</w:t>
            </w:r>
          </w:p>
        </w:tc>
        <w:tc>
          <w:tcPr>
            <w:tcW w:w="906" w:type="dxa"/>
            <w:tcMar>
              <w:top w:w="0" w:type="dxa"/>
              <w:left w:w="108" w:type="dxa"/>
              <w:bottom w:w="0" w:type="dxa"/>
              <w:right w:w="108" w:type="dxa"/>
            </w:tcMar>
            <w:hideMark/>
          </w:tcPr>
          <w:p w14:paraId="7039357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(764)</w:t>
            </w:r>
          </w:p>
        </w:tc>
        <w:tc>
          <w:tcPr>
            <w:tcW w:w="967" w:type="dxa"/>
            <w:tcMar>
              <w:top w:w="0" w:type="dxa"/>
              <w:left w:w="108" w:type="dxa"/>
              <w:bottom w:w="0" w:type="dxa"/>
              <w:right w:w="108" w:type="dxa"/>
            </w:tcMar>
            <w:hideMark/>
          </w:tcPr>
          <w:p w14:paraId="5DC42B9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(489)</w:t>
            </w:r>
          </w:p>
        </w:tc>
        <w:tc>
          <w:tcPr>
            <w:tcW w:w="807" w:type="dxa"/>
            <w:tcMar>
              <w:top w:w="0" w:type="dxa"/>
              <w:left w:w="108" w:type="dxa"/>
              <w:bottom w:w="0" w:type="dxa"/>
              <w:right w:w="108" w:type="dxa"/>
            </w:tcMar>
            <w:hideMark/>
          </w:tcPr>
          <w:p w14:paraId="49C9C76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(26)</w:t>
            </w:r>
          </w:p>
        </w:tc>
        <w:tc>
          <w:tcPr>
            <w:tcW w:w="916" w:type="dxa"/>
            <w:tcMar>
              <w:top w:w="0" w:type="dxa"/>
              <w:left w:w="108" w:type="dxa"/>
              <w:bottom w:w="0" w:type="dxa"/>
              <w:right w:w="108" w:type="dxa"/>
            </w:tcMar>
            <w:hideMark/>
          </w:tcPr>
          <w:p w14:paraId="5CF2A78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(4,248)</w:t>
            </w:r>
          </w:p>
        </w:tc>
      </w:tr>
      <w:tr w:rsidR="006E5C07" w:rsidRPr="006E5C07" w14:paraId="52B26ABB" w14:textId="77777777" w:rsidTr="006E5C07">
        <w:tc>
          <w:tcPr>
            <w:tcW w:w="2149" w:type="dxa"/>
            <w:tcMar>
              <w:top w:w="0" w:type="dxa"/>
              <w:left w:w="108" w:type="dxa"/>
              <w:bottom w:w="0" w:type="dxa"/>
              <w:right w:w="108" w:type="dxa"/>
            </w:tcMar>
            <w:hideMark/>
          </w:tcPr>
          <w:p w14:paraId="45E20217" w14:textId="77777777" w:rsidR="006E5C07" w:rsidRPr="006E5C07" w:rsidRDefault="006E5C07" w:rsidP="006E5C07">
            <w:pPr>
              <w:spacing w:after="0" w:line="240" w:lineRule="auto"/>
              <w:rPr>
                <w:rFonts w:ascii="Calibri" w:eastAsia="Times New Roman" w:hAnsi="Calibri" w:cs="Calibri"/>
              </w:rPr>
            </w:pPr>
          </w:p>
        </w:tc>
        <w:tc>
          <w:tcPr>
            <w:tcW w:w="992" w:type="dxa"/>
            <w:tcBorders>
              <w:top w:val="nil"/>
              <w:left w:val="nil"/>
              <w:bottom w:val="single" w:sz="8" w:space="0" w:color="auto"/>
              <w:right w:val="nil"/>
            </w:tcBorders>
            <w:tcMar>
              <w:top w:w="0" w:type="dxa"/>
              <w:left w:w="108" w:type="dxa"/>
              <w:bottom w:w="0" w:type="dxa"/>
              <w:right w:w="108" w:type="dxa"/>
            </w:tcMar>
            <w:hideMark/>
          </w:tcPr>
          <w:p w14:paraId="0A77005B" w14:textId="77777777" w:rsidR="006E5C07" w:rsidRPr="006E5C07" w:rsidRDefault="006E5C07" w:rsidP="006E5C07">
            <w:pPr>
              <w:spacing w:after="0" w:line="240" w:lineRule="auto"/>
              <w:rPr>
                <w:rFonts w:ascii="Calibri" w:eastAsia="Times New Roman" w:hAnsi="Calibri" w:cs="Calibri"/>
              </w:rPr>
            </w:pPr>
          </w:p>
        </w:tc>
        <w:tc>
          <w:tcPr>
            <w:tcW w:w="993" w:type="dxa"/>
            <w:tcBorders>
              <w:top w:val="nil"/>
              <w:left w:val="nil"/>
              <w:bottom w:val="single" w:sz="8" w:space="0" w:color="auto"/>
              <w:right w:val="nil"/>
            </w:tcBorders>
            <w:tcMar>
              <w:top w:w="0" w:type="dxa"/>
              <w:left w:w="108" w:type="dxa"/>
              <w:bottom w:w="0" w:type="dxa"/>
              <w:right w:w="108" w:type="dxa"/>
            </w:tcMar>
            <w:hideMark/>
          </w:tcPr>
          <w:p w14:paraId="125547ED" w14:textId="77777777" w:rsidR="006E5C07" w:rsidRPr="006E5C07" w:rsidRDefault="006E5C07" w:rsidP="006E5C07">
            <w:pPr>
              <w:spacing w:after="0" w:line="240" w:lineRule="auto"/>
              <w:rPr>
                <w:rFonts w:ascii="Calibri" w:eastAsia="Times New Roman" w:hAnsi="Calibri" w:cs="Calibri"/>
              </w:rPr>
            </w:pPr>
          </w:p>
        </w:tc>
        <w:tc>
          <w:tcPr>
            <w:tcW w:w="906" w:type="dxa"/>
            <w:tcBorders>
              <w:top w:val="nil"/>
              <w:left w:val="nil"/>
              <w:bottom w:val="single" w:sz="8" w:space="0" w:color="auto"/>
              <w:right w:val="nil"/>
            </w:tcBorders>
            <w:tcMar>
              <w:top w:w="0" w:type="dxa"/>
              <w:left w:w="108" w:type="dxa"/>
              <w:bottom w:w="0" w:type="dxa"/>
              <w:right w:w="108" w:type="dxa"/>
            </w:tcMar>
            <w:hideMark/>
          </w:tcPr>
          <w:p w14:paraId="6CB510A8" w14:textId="77777777" w:rsidR="006E5C07" w:rsidRPr="006E5C07" w:rsidRDefault="006E5C07" w:rsidP="006E5C07">
            <w:pPr>
              <w:spacing w:after="0" w:line="240" w:lineRule="auto"/>
              <w:rPr>
                <w:rFonts w:ascii="Calibri" w:eastAsia="Times New Roman" w:hAnsi="Calibri" w:cs="Calibri"/>
              </w:rPr>
            </w:pPr>
          </w:p>
        </w:tc>
        <w:tc>
          <w:tcPr>
            <w:tcW w:w="967" w:type="dxa"/>
            <w:tcBorders>
              <w:top w:val="nil"/>
              <w:left w:val="nil"/>
              <w:bottom w:val="single" w:sz="8" w:space="0" w:color="auto"/>
              <w:right w:val="nil"/>
            </w:tcBorders>
            <w:tcMar>
              <w:top w:w="0" w:type="dxa"/>
              <w:left w:w="108" w:type="dxa"/>
              <w:bottom w:w="0" w:type="dxa"/>
              <w:right w:w="108" w:type="dxa"/>
            </w:tcMar>
            <w:hideMark/>
          </w:tcPr>
          <w:p w14:paraId="794CFAC2" w14:textId="77777777" w:rsidR="006E5C07" w:rsidRPr="006E5C07" w:rsidRDefault="006E5C07" w:rsidP="006E5C07">
            <w:pPr>
              <w:spacing w:after="0" w:line="240" w:lineRule="auto"/>
              <w:rPr>
                <w:rFonts w:ascii="Calibri" w:eastAsia="Times New Roman" w:hAnsi="Calibri" w:cs="Calibri"/>
              </w:rPr>
            </w:pPr>
          </w:p>
        </w:tc>
        <w:tc>
          <w:tcPr>
            <w:tcW w:w="807" w:type="dxa"/>
            <w:tcBorders>
              <w:top w:val="nil"/>
              <w:left w:val="nil"/>
              <w:bottom w:val="single" w:sz="8" w:space="0" w:color="auto"/>
              <w:right w:val="nil"/>
            </w:tcBorders>
            <w:tcMar>
              <w:top w:w="0" w:type="dxa"/>
              <w:left w:w="108" w:type="dxa"/>
              <w:bottom w:w="0" w:type="dxa"/>
              <w:right w:w="108" w:type="dxa"/>
            </w:tcMar>
            <w:hideMark/>
          </w:tcPr>
          <w:p w14:paraId="193CDCE4" w14:textId="77777777" w:rsidR="006E5C07" w:rsidRPr="006E5C07" w:rsidRDefault="006E5C07" w:rsidP="006E5C07">
            <w:pPr>
              <w:spacing w:after="0" w:line="240" w:lineRule="auto"/>
              <w:rPr>
                <w:rFonts w:ascii="Calibri" w:eastAsia="Times New Roman" w:hAnsi="Calibri" w:cs="Calibri"/>
              </w:rPr>
            </w:pPr>
          </w:p>
        </w:tc>
        <w:tc>
          <w:tcPr>
            <w:tcW w:w="916" w:type="dxa"/>
            <w:tcBorders>
              <w:top w:val="nil"/>
              <w:left w:val="nil"/>
              <w:bottom w:val="single" w:sz="8" w:space="0" w:color="auto"/>
              <w:right w:val="nil"/>
            </w:tcBorders>
            <w:tcMar>
              <w:top w:w="0" w:type="dxa"/>
              <w:left w:w="108" w:type="dxa"/>
              <w:bottom w:w="0" w:type="dxa"/>
              <w:right w:w="108" w:type="dxa"/>
            </w:tcMar>
            <w:hideMark/>
          </w:tcPr>
          <w:p w14:paraId="4EF2C668" w14:textId="77777777" w:rsidR="006E5C07" w:rsidRPr="006E5C07" w:rsidRDefault="006E5C07" w:rsidP="006E5C07">
            <w:pPr>
              <w:spacing w:after="0" w:line="240" w:lineRule="auto"/>
              <w:rPr>
                <w:rFonts w:ascii="Calibri" w:eastAsia="Times New Roman" w:hAnsi="Calibri" w:cs="Calibri"/>
              </w:rPr>
            </w:pPr>
          </w:p>
        </w:tc>
      </w:tr>
      <w:tr w:rsidR="006E5C07" w:rsidRPr="006E5C07" w14:paraId="63FDE40A" w14:textId="77777777" w:rsidTr="006E5C07">
        <w:tc>
          <w:tcPr>
            <w:tcW w:w="2149" w:type="dxa"/>
            <w:tcMar>
              <w:top w:w="0" w:type="dxa"/>
              <w:left w:w="108" w:type="dxa"/>
              <w:bottom w:w="0" w:type="dxa"/>
              <w:right w:w="108" w:type="dxa"/>
            </w:tcMar>
            <w:hideMark/>
          </w:tcPr>
          <w:p w14:paraId="21B577CE"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Total net assets</w:t>
            </w:r>
          </w:p>
        </w:tc>
        <w:tc>
          <w:tcPr>
            <w:tcW w:w="992" w:type="dxa"/>
            <w:tcBorders>
              <w:top w:val="nil"/>
              <w:left w:val="nil"/>
              <w:bottom w:val="single" w:sz="12" w:space="0" w:color="auto"/>
              <w:right w:val="nil"/>
            </w:tcBorders>
            <w:tcMar>
              <w:top w:w="0" w:type="dxa"/>
              <w:left w:w="108" w:type="dxa"/>
              <w:bottom w:w="0" w:type="dxa"/>
              <w:right w:w="108" w:type="dxa"/>
            </w:tcMar>
            <w:hideMark/>
          </w:tcPr>
          <w:p w14:paraId="49C1D494"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3,356</w:t>
            </w:r>
          </w:p>
        </w:tc>
        <w:tc>
          <w:tcPr>
            <w:tcW w:w="993" w:type="dxa"/>
            <w:tcBorders>
              <w:top w:val="nil"/>
              <w:left w:val="nil"/>
              <w:bottom w:val="single" w:sz="12" w:space="0" w:color="auto"/>
              <w:right w:val="nil"/>
            </w:tcBorders>
            <w:tcMar>
              <w:top w:w="0" w:type="dxa"/>
              <w:left w:w="108" w:type="dxa"/>
              <w:bottom w:w="0" w:type="dxa"/>
              <w:right w:w="108" w:type="dxa"/>
            </w:tcMar>
            <w:hideMark/>
          </w:tcPr>
          <w:p w14:paraId="2C051B31"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213</w:t>
            </w:r>
          </w:p>
        </w:tc>
        <w:tc>
          <w:tcPr>
            <w:tcW w:w="906" w:type="dxa"/>
            <w:tcBorders>
              <w:top w:val="nil"/>
              <w:left w:val="nil"/>
              <w:bottom w:val="single" w:sz="12" w:space="0" w:color="auto"/>
              <w:right w:val="nil"/>
            </w:tcBorders>
            <w:tcMar>
              <w:top w:w="0" w:type="dxa"/>
              <w:left w:w="108" w:type="dxa"/>
              <w:bottom w:w="0" w:type="dxa"/>
              <w:right w:w="108" w:type="dxa"/>
            </w:tcMar>
            <w:hideMark/>
          </w:tcPr>
          <w:p w14:paraId="5AF0F014"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3,950</w:t>
            </w:r>
          </w:p>
        </w:tc>
        <w:tc>
          <w:tcPr>
            <w:tcW w:w="967" w:type="dxa"/>
            <w:tcBorders>
              <w:top w:val="nil"/>
              <w:left w:val="nil"/>
              <w:bottom w:val="single" w:sz="12" w:space="0" w:color="auto"/>
              <w:right w:val="nil"/>
            </w:tcBorders>
            <w:tcMar>
              <w:top w:w="0" w:type="dxa"/>
              <w:left w:w="108" w:type="dxa"/>
              <w:bottom w:w="0" w:type="dxa"/>
              <w:right w:w="108" w:type="dxa"/>
            </w:tcMar>
            <w:hideMark/>
          </w:tcPr>
          <w:p w14:paraId="683721D4"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249</w:t>
            </w:r>
          </w:p>
        </w:tc>
        <w:tc>
          <w:tcPr>
            <w:tcW w:w="807" w:type="dxa"/>
            <w:tcBorders>
              <w:top w:val="nil"/>
              <w:left w:val="nil"/>
              <w:bottom w:val="single" w:sz="12" w:space="0" w:color="auto"/>
              <w:right w:val="nil"/>
            </w:tcBorders>
            <w:tcMar>
              <w:top w:w="0" w:type="dxa"/>
              <w:left w:w="108" w:type="dxa"/>
              <w:bottom w:w="0" w:type="dxa"/>
              <w:right w:w="108" w:type="dxa"/>
            </w:tcMar>
            <w:hideMark/>
          </w:tcPr>
          <w:p w14:paraId="2619B7C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542</w:t>
            </w:r>
          </w:p>
        </w:tc>
        <w:tc>
          <w:tcPr>
            <w:tcW w:w="916" w:type="dxa"/>
            <w:tcBorders>
              <w:top w:val="nil"/>
              <w:left w:val="nil"/>
              <w:bottom w:val="single" w:sz="12" w:space="0" w:color="auto"/>
              <w:right w:val="nil"/>
            </w:tcBorders>
            <w:tcMar>
              <w:top w:w="0" w:type="dxa"/>
              <w:left w:w="108" w:type="dxa"/>
              <w:bottom w:w="0" w:type="dxa"/>
              <w:right w:w="108" w:type="dxa"/>
            </w:tcMar>
            <w:hideMark/>
          </w:tcPr>
          <w:p w14:paraId="43AD21F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8,310</w:t>
            </w:r>
          </w:p>
        </w:tc>
      </w:tr>
    </w:tbl>
    <w:p w14:paraId="1E223A83" w14:textId="77777777" w:rsidR="006E5C07" w:rsidRPr="006E5C07" w:rsidRDefault="006E5C07" w:rsidP="006E5C07">
      <w:pPr>
        <w:spacing w:after="200" w:line="253" w:lineRule="atLeast"/>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222B7621" w14:textId="77777777" w:rsidR="006E5C07" w:rsidRPr="006E5C07" w:rsidRDefault="006E5C07" w:rsidP="006E5C07">
      <w:pPr>
        <w:spacing w:after="0" w:line="253" w:lineRule="atLeast"/>
        <w:ind w:left="2007" w:hanging="1134"/>
        <w:rPr>
          <w:rFonts w:ascii="Calibri" w:eastAsia="Times New Roman" w:hAnsi="Calibri" w:cs="Calibri"/>
          <w:color w:val="16202C"/>
        </w:rPr>
      </w:pPr>
      <w:r w:rsidRPr="006E5C07">
        <w:rPr>
          <w:rFonts w:ascii="Gill Sans MT" w:eastAsia="Times New Roman" w:hAnsi="Gill Sans MT" w:cs="Calibri"/>
          <w:b/>
          <w:bCs/>
          <w:color w:val="16202C"/>
          <w:sz w:val="18"/>
          <w:szCs w:val="18"/>
        </w:rPr>
        <w:t>5.         Other operating income</w:t>
      </w:r>
    </w:p>
    <w:p w14:paraId="785F8EDA" w14:textId="77777777" w:rsidR="006E5C07" w:rsidRPr="006E5C07" w:rsidRDefault="006E5C07" w:rsidP="006E5C07">
      <w:pPr>
        <w:spacing w:after="0" w:line="253" w:lineRule="atLeast"/>
        <w:ind w:left="1582" w:hanging="142"/>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04F82A40" w14:textId="77777777" w:rsidR="006E5C07" w:rsidRPr="006E5C07" w:rsidRDefault="006E5C07" w:rsidP="006E5C07">
      <w:pPr>
        <w:spacing w:line="253" w:lineRule="atLeast"/>
        <w:ind w:left="1582" w:hanging="142"/>
        <w:rPr>
          <w:rFonts w:ascii="Calibri" w:eastAsia="Times New Roman" w:hAnsi="Calibri" w:cs="Calibri"/>
          <w:color w:val="16202C"/>
        </w:rPr>
      </w:pPr>
      <w:r w:rsidRPr="006E5C07">
        <w:rPr>
          <w:rFonts w:ascii="Gill Sans MT" w:eastAsia="Times New Roman" w:hAnsi="Gill Sans MT" w:cs="Calibri"/>
          <w:color w:val="16202C"/>
          <w:sz w:val="18"/>
          <w:szCs w:val="18"/>
        </w:rPr>
        <w:t>Other operating income is comprised of:</w:t>
      </w:r>
    </w:p>
    <w:tbl>
      <w:tblPr>
        <w:tblW w:w="0" w:type="auto"/>
        <w:tblInd w:w="-108" w:type="dxa"/>
        <w:tblCellMar>
          <w:left w:w="0" w:type="dxa"/>
          <w:right w:w="0" w:type="dxa"/>
        </w:tblCellMar>
        <w:tblLook w:val="04A0" w:firstRow="1" w:lastRow="0" w:firstColumn="1" w:lastColumn="0" w:noHBand="0" w:noVBand="1"/>
      </w:tblPr>
      <w:tblGrid>
        <w:gridCol w:w="3720"/>
        <w:gridCol w:w="1626"/>
        <w:gridCol w:w="1547"/>
      </w:tblGrid>
      <w:tr w:rsidR="006E5C07" w:rsidRPr="006E5C07" w14:paraId="0786685C" w14:textId="77777777" w:rsidTr="006E5C07">
        <w:tc>
          <w:tcPr>
            <w:tcW w:w="3720" w:type="dxa"/>
            <w:tcMar>
              <w:top w:w="0" w:type="dxa"/>
              <w:left w:w="108" w:type="dxa"/>
              <w:bottom w:w="0" w:type="dxa"/>
              <w:right w:w="108" w:type="dxa"/>
            </w:tcMar>
            <w:hideMark/>
          </w:tcPr>
          <w:p w14:paraId="3F797FD7" w14:textId="77777777" w:rsidR="006E5C07" w:rsidRPr="006E5C07" w:rsidRDefault="006E5C07" w:rsidP="006E5C07">
            <w:pPr>
              <w:spacing w:after="0" w:line="240" w:lineRule="auto"/>
              <w:rPr>
                <w:rFonts w:ascii="Calibri" w:eastAsia="Times New Roman" w:hAnsi="Calibri" w:cs="Calibri"/>
              </w:rPr>
            </w:pPr>
          </w:p>
        </w:tc>
        <w:tc>
          <w:tcPr>
            <w:tcW w:w="1626" w:type="dxa"/>
            <w:tcMar>
              <w:top w:w="0" w:type="dxa"/>
              <w:left w:w="108" w:type="dxa"/>
              <w:bottom w:w="0" w:type="dxa"/>
              <w:right w:w="108" w:type="dxa"/>
            </w:tcMar>
            <w:hideMark/>
          </w:tcPr>
          <w:p w14:paraId="332A237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c>
          <w:tcPr>
            <w:tcW w:w="1547" w:type="dxa"/>
            <w:tcMar>
              <w:top w:w="0" w:type="dxa"/>
              <w:left w:w="108" w:type="dxa"/>
              <w:bottom w:w="0" w:type="dxa"/>
              <w:right w:w="108" w:type="dxa"/>
            </w:tcMar>
            <w:hideMark/>
          </w:tcPr>
          <w:p w14:paraId="72A037B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r>
      <w:tr w:rsidR="006E5C07" w:rsidRPr="006E5C07" w14:paraId="49CDEFE4" w14:textId="77777777" w:rsidTr="006E5C07">
        <w:tc>
          <w:tcPr>
            <w:tcW w:w="3720" w:type="dxa"/>
            <w:tcMar>
              <w:top w:w="0" w:type="dxa"/>
              <w:left w:w="108" w:type="dxa"/>
              <w:bottom w:w="0" w:type="dxa"/>
              <w:right w:w="108" w:type="dxa"/>
            </w:tcMar>
            <w:hideMark/>
          </w:tcPr>
          <w:p w14:paraId="4A5E5515" w14:textId="77777777" w:rsidR="006E5C07" w:rsidRPr="006E5C07" w:rsidRDefault="006E5C07" w:rsidP="006E5C07">
            <w:pPr>
              <w:spacing w:after="0" w:line="240" w:lineRule="auto"/>
              <w:rPr>
                <w:rFonts w:ascii="Calibri" w:eastAsia="Times New Roman" w:hAnsi="Calibri" w:cs="Calibri"/>
              </w:rPr>
            </w:pPr>
          </w:p>
        </w:tc>
        <w:tc>
          <w:tcPr>
            <w:tcW w:w="1626" w:type="dxa"/>
            <w:tcMar>
              <w:top w:w="0" w:type="dxa"/>
              <w:left w:w="108" w:type="dxa"/>
              <w:bottom w:w="0" w:type="dxa"/>
              <w:right w:w="108" w:type="dxa"/>
            </w:tcMar>
            <w:hideMark/>
          </w:tcPr>
          <w:p w14:paraId="1FF2E14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December '20</w:t>
            </w:r>
          </w:p>
        </w:tc>
        <w:tc>
          <w:tcPr>
            <w:tcW w:w="1547" w:type="dxa"/>
            <w:tcMar>
              <w:top w:w="0" w:type="dxa"/>
              <w:left w:w="108" w:type="dxa"/>
              <w:bottom w:w="0" w:type="dxa"/>
              <w:right w:w="108" w:type="dxa"/>
            </w:tcMar>
            <w:hideMark/>
          </w:tcPr>
          <w:p w14:paraId="43B9CBD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December '19</w:t>
            </w:r>
          </w:p>
        </w:tc>
      </w:tr>
      <w:tr w:rsidR="006E5C07" w:rsidRPr="006E5C07" w14:paraId="292E7568" w14:textId="77777777" w:rsidTr="006E5C07">
        <w:tc>
          <w:tcPr>
            <w:tcW w:w="3720" w:type="dxa"/>
            <w:tcMar>
              <w:top w:w="0" w:type="dxa"/>
              <w:left w:w="108" w:type="dxa"/>
              <w:bottom w:w="0" w:type="dxa"/>
              <w:right w:w="108" w:type="dxa"/>
            </w:tcMar>
            <w:hideMark/>
          </w:tcPr>
          <w:p w14:paraId="7C78D02C" w14:textId="77777777" w:rsidR="006E5C07" w:rsidRPr="006E5C07" w:rsidRDefault="006E5C07" w:rsidP="006E5C07">
            <w:pPr>
              <w:spacing w:after="0" w:line="240" w:lineRule="auto"/>
              <w:rPr>
                <w:rFonts w:ascii="Calibri" w:eastAsia="Times New Roman" w:hAnsi="Calibri" w:cs="Calibri"/>
              </w:rPr>
            </w:pPr>
          </w:p>
        </w:tc>
        <w:tc>
          <w:tcPr>
            <w:tcW w:w="1626" w:type="dxa"/>
            <w:tcMar>
              <w:top w:w="0" w:type="dxa"/>
              <w:left w:w="108" w:type="dxa"/>
              <w:bottom w:w="0" w:type="dxa"/>
              <w:right w:w="108" w:type="dxa"/>
            </w:tcMar>
            <w:hideMark/>
          </w:tcPr>
          <w:p w14:paraId="41D719B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1547" w:type="dxa"/>
            <w:tcMar>
              <w:top w:w="0" w:type="dxa"/>
              <w:left w:w="108" w:type="dxa"/>
              <w:bottom w:w="0" w:type="dxa"/>
              <w:right w:w="108" w:type="dxa"/>
            </w:tcMar>
            <w:hideMark/>
          </w:tcPr>
          <w:p w14:paraId="7402C43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5832FD15" w14:textId="77777777" w:rsidTr="006E5C07">
        <w:tc>
          <w:tcPr>
            <w:tcW w:w="3720" w:type="dxa"/>
            <w:tcMar>
              <w:top w:w="0" w:type="dxa"/>
              <w:left w:w="108" w:type="dxa"/>
              <w:bottom w:w="0" w:type="dxa"/>
              <w:right w:w="108" w:type="dxa"/>
            </w:tcMar>
            <w:hideMark/>
          </w:tcPr>
          <w:p w14:paraId="765AE155" w14:textId="77777777" w:rsidR="006E5C07" w:rsidRPr="006E5C07" w:rsidRDefault="006E5C07" w:rsidP="006E5C07">
            <w:pPr>
              <w:spacing w:after="0" w:line="240" w:lineRule="auto"/>
              <w:rPr>
                <w:rFonts w:ascii="Calibri" w:eastAsia="Times New Roman" w:hAnsi="Calibri" w:cs="Calibri"/>
              </w:rPr>
            </w:pPr>
          </w:p>
        </w:tc>
        <w:tc>
          <w:tcPr>
            <w:tcW w:w="1626" w:type="dxa"/>
            <w:tcMar>
              <w:top w:w="0" w:type="dxa"/>
              <w:left w:w="108" w:type="dxa"/>
              <w:bottom w:w="0" w:type="dxa"/>
              <w:right w:w="108" w:type="dxa"/>
            </w:tcMar>
            <w:hideMark/>
          </w:tcPr>
          <w:p w14:paraId="17836FD2" w14:textId="77777777" w:rsidR="006E5C07" w:rsidRPr="006E5C07" w:rsidRDefault="006E5C07" w:rsidP="006E5C07">
            <w:pPr>
              <w:spacing w:after="0" w:line="240" w:lineRule="auto"/>
              <w:jc w:val="right"/>
              <w:rPr>
                <w:rFonts w:ascii="Calibri" w:eastAsia="Times New Roman" w:hAnsi="Calibri" w:cs="Calibri"/>
              </w:rPr>
            </w:pPr>
          </w:p>
        </w:tc>
        <w:tc>
          <w:tcPr>
            <w:tcW w:w="1547" w:type="dxa"/>
            <w:tcMar>
              <w:top w:w="0" w:type="dxa"/>
              <w:left w:w="108" w:type="dxa"/>
              <w:bottom w:w="0" w:type="dxa"/>
              <w:right w:w="108" w:type="dxa"/>
            </w:tcMar>
            <w:hideMark/>
          </w:tcPr>
          <w:p w14:paraId="28657B2C"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2675B507" w14:textId="77777777" w:rsidTr="006E5C07">
        <w:tc>
          <w:tcPr>
            <w:tcW w:w="3720" w:type="dxa"/>
            <w:tcMar>
              <w:top w:w="0" w:type="dxa"/>
              <w:left w:w="108" w:type="dxa"/>
              <w:bottom w:w="0" w:type="dxa"/>
              <w:right w:w="108" w:type="dxa"/>
            </w:tcMar>
            <w:hideMark/>
          </w:tcPr>
          <w:p w14:paraId="3723EE03"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Government grants</w:t>
            </w:r>
          </w:p>
        </w:tc>
        <w:tc>
          <w:tcPr>
            <w:tcW w:w="1626" w:type="dxa"/>
            <w:tcMar>
              <w:top w:w="0" w:type="dxa"/>
              <w:left w:w="108" w:type="dxa"/>
              <w:bottom w:w="0" w:type="dxa"/>
              <w:right w:w="108" w:type="dxa"/>
            </w:tcMar>
            <w:hideMark/>
          </w:tcPr>
          <w:p w14:paraId="786ECBB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595</w:t>
            </w:r>
          </w:p>
        </w:tc>
        <w:tc>
          <w:tcPr>
            <w:tcW w:w="1547" w:type="dxa"/>
            <w:tcMar>
              <w:top w:w="0" w:type="dxa"/>
              <w:left w:w="108" w:type="dxa"/>
              <w:bottom w:w="0" w:type="dxa"/>
              <w:right w:w="108" w:type="dxa"/>
            </w:tcMar>
            <w:hideMark/>
          </w:tcPr>
          <w:p w14:paraId="4D89470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r>
      <w:tr w:rsidR="006E5C07" w:rsidRPr="006E5C07" w14:paraId="21C81AEE" w14:textId="77777777" w:rsidTr="006E5C07">
        <w:tc>
          <w:tcPr>
            <w:tcW w:w="3720" w:type="dxa"/>
            <w:tcMar>
              <w:top w:w="0" w:type="dxa"/>
              <w:left w:w="108" w:type="dxa"/>
              <w:bottom w:w="0" w:type="dxa"/>
              <w:right w:w="108" w:type="dxa"/>
            </w:tcMar>
            <w:hideMark/>
          </w:tcPr>
          <w:p w14:paraId="0CAE81D9"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Ancillary charges</w:t>
            </w:r>
          </w:p>
        </w:tc>
        <w:tc>
          <w:tcPr>
            <w:tcW w:w="1626" w:type="dxa"/>
            <w:tcMar>
              <w:top w:w="0" w:type="dxa"/>
              <w:left w:w="108" w:type="dxa"/>
              <w:bottom w:w="0" w:type="dxa"/>
              <w:right w:w="108" w:type="dxa"/>
            </w:tcMar>
            <w:hideMark/>
          </w:tcPr>
          <w:p w14:paraId="1DB80D1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144</w:t>
            </w:r>
          </w:p>
        </w:tc>
        <w:tc>
          <w:tcPr>
            <w:tcW w:w="1547" w:type="dxa"/>
            <w:tcMar>
              <w:top w:w="0" w:type="dxa"/>
              <w:left w:w="108" w:type="dxa"/>
              <w:bottom w:w="0" w:type="dxa"/>
              <w:right w:w="108" w:type="dxa"/>
            </w:tcMar>
            <w:hideMark/>
          </w:tcPr>
          <w:p w14:paraId="38DA179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175</w:t>
            </w:r>
          </w:p>
        </w:tc>
      </w:tr>
      <w:tr w:rsidR="006E5C07" w:rsidRPr="006E5C07" w14:paraId="473DBBF8" w14:textId="77777777" w:rsidTr="006E5C07">
        <w:tc>
          <w:tcPr>
            <w:tcW w:w="3720" w:type="dxa"/>
            <w:tcMar>
              <w:top w:w="0" w:type="dxa"/>
              <w:left w:w="108" w:type="dxa"/>
              <w:bottom w:w="0" w:type="dxa"/>
              <w:right w:w="108" w:type="dxa"/>
            </w:tcMar>
            <w:hideMark/>
          </w:tcPr>
          <w:p w14:paraId="14BDE7D7" w14:textId="77777777" w:rsidR="006E5C07" w:rsidRPr="006E5C07" w:rsidRDefault="006E5C07" w:rsidP="006E5C07">
            <w:pPr>
              <w:spacing w:after="0" w:line="240" w:lineRule="auto"/>
              <w:rPr>
                <w:rFonts w:ascii="Calibri" w:eastAsia="Times New Roman" w:hAnsi="Calibri" w:cs="Calibri"/>
              </w:rPr>
            </w:pPr>
          </w:p>
        </w:tc>
        <w:tc>
          <w:tcPr>
            <w:tcW w:w="1626" w:type="dxa"/>
            <w:tcBorders>
              <w:top w:val="single" w:sz="8" w:space="0" w:color="auto"/>
              <w:left w:val="nil"/>
              <w:bottom w:val="single" w:sz="8" w:space="0" w:color="auto"/>
              <w:right w:val="nil"/>
            </w:tcBorders>
            <w:tcMar>
              <w:top w:w="0" w:type="dxa"/>
              <w:left w:w="108" w:type="dxa"/>
              <w:bottom w:w="0" w:type="dxa"/>
              <w:right w:w="108" w:type="dxa"/>
            </w:tcMar>
            <w:hideMark/>
          </w:tcPr>
          <w:p w14:paraId="5473F29A"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739</w:t>
            </w:r>
          </w:p>
        </w:tc>
        <w:tc>
          <w:tcPr>
            <w:tcW w:w="1547" w:type="dxa"/>
            <w:tcBorders>
              <w:top w:val="single" w:sz="8" w:space="0" w:color="auto"/>
              <w:left w:val="nil"/>
              <w:bottom w:val="single" w:sz="8" w:space="0" w:color="auto"/>
              <w:right w:val="nil"/>
            </w:tcBorders>
            <w:tcMar>
              <w:top w:w="0" w:type="dxa"/>
              <w:left w:w="108" w:type="dxa"/>
              <w:bottom w:w="0" w:type="dxa"/>
              <w:right w:w="108" w:type="dxa"/>
            </w:tcMar>
            <w:hideMark/>
          </w:tcPr>
          <w:p w14:paraId="7F2EF36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175</w:t>
            </w:r>
          </w:p>
        </w:tc>
      </w:tr>
    </w:tbl>
    <w:p w14:paraId="2661006C" w14:textId="77777777" w:rsidR="006E5C07" w:rsidRPr="006E5C07" w:rsidRDefault="006E5C07" w:rsidP="006E5C07">
      <w:pPr>
        <w:spacing w:after="200" w:line="253" w:lineRule="atLeast"/>
        <w:ind w:hanging="567"/>
        <w:rPr>
          <w:rFonts w:ascii="Calibri" w:eastAsia="Times New Roman" w:hAnsi="Calibri" w:cs="Calibri"/>
          <w:color w:val="16202C"/>
        </w:rPr>
      </w:pPr>
      <w:r w:rsidRPr="006E5C07">
        <w:rPr>
          <w:rFonts w:ascii="Gill Sans MT" w:eastAsia="Times New Roman" w:hAnsi="Gill Sans MT" w:cs="Calibri"/>
          <w:b/>
          <w:bCs/>
          <w:color w:val="16202C"/>
          <w:sz w:val="18"/>
          <w:szCs w:val="18"/>
        </w:rPr>
        <w:t>6.</w:t>
      </w:r>
      <w:r w:rsidRPr="006E5C07">
        <w:rPr>
          <w:rFonts w:ascii="Gill Sans MT" w:eastAsia="Times New Roman" w:hAnsi="Gill Sans MT" w:cs="Calibri"/>
          <w:color w:val="16202C"/>
          <w:sz w:val="18"/>
          <w:szCs w:val="18"/>
        </w:rPr>
        <w:t>         </w:t>
      </w:r>
      <w:r w:rsidRPr="006E5C07">
        <w:rPr>
          <w:rFonts w:ascii="Gill Sans MT" w:eastAsia="Times New Roman" w:hAnsi="Gill Sans MT" w:cs="Calibri"/>
          <w:b/>
          <w:bCs/>
          <w:color w:val="16202C"/>
          <w:sz w:val="18"/>
          <w:szCs w:val="18"/>
        </w:rPr>
        <w:t>Operating (loss) / profit</w:t>
      </w:r>
    </w:p>
    <w:p w14:paraId="7259F537" w14:textId="77777777" w:rsidR="006E5C07" w:rsidRPr="006E5C07" w:rsidRDefault="006E5C07" w:rsidP="006E5C07">
      <w:pPr>
        <w:spacing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The operating (loss) / profit is stated after charging:</w:t>
      </w:r>
    </w:p>
    <w:tbl>
      <w:tblPr>
        <w:tblW w:w="0" w:type="auto"/>
        <w:tblInd w:w="-108" w:type="dxa"/>
        <w:tblCellMar>
          <w:left w:w="0" w:type="dxa"/>
          <w:right w:w="0" w:type="dxa"/>
        </w:tblCellMar>
        <w:tblLook w:val="04A0" w:firstRow="1" w:lastRow="0" w:firstColumn="1" w:lastColumn="0" w:noHBand="0" w:noVBand="1"/>
      </w:tblPr>
      <w:tblGrid>
        <w:gridCol w:w="3720"/>
        <w:gridCol w:w="1626"/>
        <w:gridCol w:w="1547"/>
      </w:tblGrid>
      <w:tr w:rsidR="006E5C07" w:rsidRPr="006E5C07" w14:paraId="3B23E3AF" w14:textId="77777777" w:rsidTr="006E5C07">
        <w:tc>
          <w:tcPr>
            <w:tcW w:w="3720" w:type="dxa"/>
            <w:tcMar>
              <w:top w:w="0" w:type="dxa"/>
              <w:left w:w="108" w:type="dxa"/>
              <w:bottom w:w="0" w:type="dxa"/>
              <w:right w:w="108" w:type="dxa"/>
            </w:tcMar>
            <w:hideMark/>
          </w:tcPr>
          <w:p w14:paraId="002131DA" w14:textId="77777777" w:rsidR="006E5C07" w:rsidRPr="006E5C07" w:rsidRDefault="006E5C07" w:rsidP="006E5C07">
            <w:pPr>
              <w:spacing w:after="0" w:line="240" w:lineRule="auto"/>
              <w:rPr>
                <w:rFonts w:ascii="Calibri" w:eastAsia="Times New Roman" w:hAnsi="Calibri" w:cs="Calibri"/>
              </w:rPr>
            </w:pPr>
          </w:p>
        </w:tc>
        <w:tc>
          <w:tcPr>
            <w:tcW w:w="1626" w:type="dxa"/>
            <w:tcMar>
              <w:top w:w="0" w:type="dxa"/>
              <w:left w:w="108" w:type="dxa"/>
              <w:bottom w:w="0" w:type="dxa"/>
              <w:right w:w="108" w:type="dxa"/>
            </w:tcMar>
            <w:hideMark/>
          </w:tcPr>
          <w:p w14:paraId="148216D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c>
          <w:tcPr>
            <w:tcW w:w="1547" w:type="dxa"/>
            <w:tcMar>
              <w:top w:w="0" w:type="dxa"/>
              <w:left w:w="108" w:type="dxa"/>
              <w:bottom w:w="0" w:type="dxa"/>
              <w:right w:w="108" w:type="dxa"/>
            </w:tcMar>
            <w:hideMark/>
          </w:tcPr>
          <w:p w14:paraId="5DB31B1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r>
      <w:tr w:rsidR="006E5C07" w:rsidRPr="006E5C07" w14:paraId="5FAA85E6" w14:textId="77777777" w:rsidTr="006E5C07">
        <w:tc>
          <w:tcPr>
            <w:tcW w:w="3720" w:type="dxa"/>
            <w:tcMar>
              <w:top w:w="0" w:type="dxa"/>
              <w:left w:w="108" w:type="dxa"/>
              <w:bottom w:w="0" w:type="dxa"/>
              <w:right w:w="108" w:type="dxa"/>
            </w:tcMar>
            <w:hideMark/>
          </w:tcPr>
          <w:p w14:paraId="6AE28CCF" w14:textId="77777777" w:rsidR="006E5C07" w:rsidRPr="006E5C07" w:rsidRDefault="006E5C07" w:rsidP="006E5C07">
            <w:pPr>
              <w:spacing w:after="0" w:line="240" w:lineRule="auto"/>
              <w:rPr>
                <w:rFonts w:ascii="Calibri" w:eastAsia="Times New Roman" w:hAnsi="Calibri" w:cs="Calibri"/>
              </w:rPr>
            </w:pPr>
          </w:p>
        </w:tc>
        <w:tc>
          <w:tcPr>
            <w:tcW w:w="1626" w:type="dxa"/>
            <w:tcMar>
              <w:top w:w="0" w:type="dxa"/>
              <w:left w:w="108" w:type="dxa"/>
              <w:bottom w:w="0" w:type="dxa"/>
              <w:right w:w="108" w:type="dxa"/>
            </w:tcMar>
            <w:hideMark/>
          </w:tcPr>
          <w:p w14:paraId="1040D20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December '20</w:t>
            </w:r>
          </w:p>
        </w:tc>
        <w:tc>
          <w:tcPr>
            <w:tcW w:w="1547" w:type="dxa"/>
            <w:tcMar>
              <w:top w:w="0" w:type="dxa"/>
              <w:left w:w="108" w:type="dxa"/>
              <w:bottom w:w="0" w:type="dxa"/>
              <w:right w:w="108" w:type="dxa"/>
            </w:tcMar>
            <w:hideMark/>
          </w:tcPr>
          <w:p w14:paraId="21C6B8C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December '19</w:t>
            </w:r>
          </w:p>
        </w:tc>
      </w:tr>
      <w:tr w:rsidR="006E5C07" w:rsidRPr="006E5C07" w14:paraId="28FE6175" w14:textId="77777777" w:rsidTr="006E5C07">
        <w:tc>
          <w:tcPr>
            <w:tcW w:w="3720" w:type="dxa"/>
            <w:tcMar>
              <w:top w:w="0" w:type="dxa"/>
              <w:left w:w="108" w:type="dxa"/>
              <w:bottom w:w="0" w:type="dxa"/>
              <w:right w:w="108" w:type="dxa"/>
            </w:tcMar>
            <w:hideMark/>
          </w:tcPr>
          <w:p w14:paraId="2BDFB4D4" w14:textId="77777777" w:rsidR="006E5C07" w:rsidRPr="006E5C07" w:rsidRDefault="006E5C07" w:rsidP="006E5C07">
            <w:pPr>
              <w:spacing w:after="0" w:line="240" w:lineRule="auto"/>
              <w:rPr>
                <w:rFonts w:ascii="Calibri" w:eastAsia="Times New Roman" w:hAnsi="Calibri" w:cs="Calibri"/>
              </w:rPr>
            </w:pPr>
          </w:p>
        </w:tc>
        <w:tc>
          <w:tcPr>
            <w:tcW w:w="1626" w:type="dxa"/>
            <w:tcMar>
              <w:top w:w="0" w:type="dxa"/>
              <w:left w:w="108" w:type="dxa"/>
              <w:bottom w:w="0" w:type="dxa"/>
              <w:right w:w="108" w:type="dxa"/>
            </w:tcMar>
            <w:hideMark/>
          </w:tcPr>
          <w:p w14:paraId="4028EE8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1547" w:type="dxa"/>
            <w:tcMar>
              <w:top w:w="0" w:type="dxa"/>
              <w:left w:w="108" w:type="dxa"/>
              <w:bottom w:w="0" w:type="dxa"/>
              <w:right w:w="108" w:type="dxa"/>
            </w:tcMar>
            <w:hideMark/>
          </w:tcPr>
          <w:p w14:paraId="7D54604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7D8E762D" w14:textId="77777777" w:rsidTr="006E5C07">
        <w:tc>
          <w:tcPr>
            <w:tcW w:w="3720" w:type="dxa"/>
            <w:tcMar>
              <w:top w:w="0" w:type="dxa"/>
              <w:left w:w="108" w:type="dxa"/>
              <w:bottom w:w="0" w:type="dxa"/>
              <w:right w:w="108" w:type="dxa"/>
            </w:tcMar>
            <w:hideMark/>
          </w:tcPr>
          <w:p w14:paraId="41ED7B14" w14:textId="77777777" w:rsidR="006E5C07" w:rsidRPr="006E5C07" w:rsidRDefault="006E5C07" w:rsidP="006E5C07">
            <w:pPr>
              <w:spacing w:after="0" w:line="240" w:lineRule="auto"/>
              <w:rPr>
                <w:rFonts w:ascii="Calibri" w:eastAsia="Times New Roman" w:hAnsi="Calibri" w:cs="Calibri"/>
              </w:rPr>
            </w:pPr>
          </w:p>
        </w:tc>
        <w:tc>
          <w:tcPr>
            <w:tcW w:w="1626" w:type="dxa"/>
            <w:tcMar>
              <w:top w:w="0" w:type="dxa"/>
              <w:left w:w="108" w:type="dxa"/>
              <w:bottom w:w="0" w:type="dxa"/>
              <w:right w:w="108" w:type="dxa"/>
            </w:tcMar>
            <w:hideMark/>
          </w:tcPr>
          <w:p w14:paraId="4E97833C" w14:textId="77777777" w:rsidR="006E5C07" w:rsidRPr="006E5C07" w:rsidRDefault="006E5C07" w:rsidP="006E5C07">
            <w:pPr>
              <w:spacing w:after="0" w:line="240" w:lineRule="auto"/>
              <w:jc w:val="right"/>
              <w:rPr>
                <w:rFonts w:ascii="Calibri" w:eastAsia="Times New Roman" w:hAnsi="Calibri" w:cs="Calibri"/>
              </w:rPr>
            </w:pPr>
          </w:p>
        </w:tc>
        <w:tc>
          <w:tcPr>
            <w:tcW w:w="1547" w:type="dxa"/>
            <w:tcMar>
              <w:top w:w="0" w:type="dxa"/>
              <w:left w:w="108" w:type="dxa"/>
              <w:bottom w:w="0" w:type="dxa"/>
              <w:right w:w="108" w:type="dxa"/>
            </w:tcMar>
            <w:hideMark/>
          </w:tcPr>
          <w:p w14:paraId="25926DE3"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24EC29DE" w14:textId="77777777" w:rsidTr="006E5C07">
        <w:tc>
          <w:tcPr>
            <w:tcW w:w="3720" w:type="dxa"/>
            <w:tcMar>
              <w:top w:w="0" w:type="dxa"/>
              <w:left w:w="108" w:type="dxa"/>
              <w:bottom w:w="0" w:type="dxa"/>
              <w:right w:w="108" w:type="dxa"/>
            </w:tcMar>
            <w:hideMark/>
          </w:tcPr>
          <w:p w14:paraId="5D589EF2"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Amortisation of intangible assets</w:t>
            </w:r>
          </w:p>
          <w:p w14:paraId="2BD69AD5"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Impairment of goodwill</w:t>
            </w:r>
          </w:p>
        </w:tc>
        <w:tc>
          <w:tcPr>
            <w:tcW w:w="1626" w:type="dxa"/>
            <w:tcMar>
              <w:top w:w="0" w:type="dxa"/>
              <w:left w:w="108" w:type="dxa"/>
              <w:bottom w:w="0" w:type="dxa"/>
              <w:right w:w="108" w:type="dxa"/>
            </w:tcMar>
            <w:hideMark/>
          </w:tcPr>
          <w:p w14:paraId="62FEACF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p w14:paraId="5F3DE2B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1,100</w:t>
            </w:r>
          </w:p>
        </w:tc>
        <w:tc>
          <w:tcPr>
            <w:tcW w:w="1547" w:type="dxa"/>
            <w:tcMar>
              <w:top w:w="0" w:type="dxa"/>
              <w:left w:w="108" w:type="dxa"/>
              <w:bottom w:w="0" w:type="dxa"/>
              <w:right w:w="108" w:type="dxa"/>
            </w:tcMar>
            <w:hideMark/>
          </w:tcPr>
          <w:p w14:paraId="643014D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w:t>
            </w:r>
          </w:p>
          <w:p w14:paraId="239BA3E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r>
      <w:tr w:rsidR="006E5C07" w:rsidRPr="006E5C07" w14:paraId="0B944458" w14:textId="77777777" w:rsidTr="006E5C07">
        <w:tc>
          <w:tcPr>
            <w:tcW w:w="3720" w:type="dxa"/>
            <w:tcMar>
              <w:top w:w="0" w:type="dxa"/>
              <w:left w:w="108" w:type="dxa"/>
              <w:bottom w:w="0" w:type="dxa"/>
              <w:right w:w="108" w:type="dxa"/>
            </w:tcMar>
            <w:hideMark/>
          </w:tcPr>
          <w:p w14:paraId="130EE5AB"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Depreciation of property, plant and equipment</w:t>
            </w:r>
          </w:p>
        </w:tc>
        <w:tc>
          <w:tcPr>
            <w:tcW w:w="1626" w:type="dxa"/>
            <w:tcMar>
              <w:top w:w="0" w:type="dxa"/>
              <w:left w:w="108" w:type="dxa"/>
              <w:bottom w:w="0" w:type="dxa"/>
              <w:right w:w="108" w:type="dxa"/>
            </w:tcMar>
            <w:hideMark/>
          </w:tcPr>
          <w:p w14:paraId="3D8D978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234</w:t>
            </w:r>
          </w:p>
        </w:tc>
        <w:tc>
          <w:tcPr>
            <w:tcW w:w="1547" w:type="dxa"/>
            <w:tcMar>
              <w:top w:w="0" w:type="dxa"/>
              <w:left w:w="108" w:type="dxa"/>
              <w:bottom w:w="0" w:type="dxa"/>
              <w:right w:w="108" w:type="dxa"/>
            </w:tcMar>
            <w:hideMark/>
          </w:tcPr>
          <w:p w14:paraId="7BFBF28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350</w:t>
            </w:r>
          </w:p>
        </w:tc>
      </w:tr>
      <w:tr w:rsidR="006E5C07" w:rsidRPr="006E5C07" w14:paraId="5FA87FF8" w14:textId="77777777" w:rsidTr="006E5C07">
        <w:tc>
          <w:tcPr>
            <w:tcW w:w="3720" w:type="dxa"/>
            <w:tcMar>
              <w:top w:w="0" w:type="dxa"/>
              <w:left w:w="108" w:type="dxa"/>
              <w:bottom w:w="0" w:type="dxa"/>
              <w:right w:w="108" w:type="dxa"/>
            </w:tcMar>
            <w:hideMark/>
          </w:tcPr>
          <w:p w14:paraId="520E9E0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Depreciation of right of use assets</w:t>
            </w:r>
          </w:p>
          <w:p w14:paraId="15D1B6B5"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Interest charges in relation to finance lease obligations</w:t>
            </w:r>
          </w:p>
        </w:tc>
        <w:tc>
          <w:tcPr>
            <w:tcW w:w="1626" w:type="dxa"/>
            <w:tcBorders>
              <w:top w:val="nil"/>
              <w:left w:val="nil"/>
              <w:bottom w:val="double" w:sz="6" w:space="0" w:color="auto"/>
              <w:right w:val="nil"/>
            </w:tcBorders>
            <w:tcMar>
              <w:top w:w="0" w:type="dxa"/>
              <w:left w:w="108" w:type="dxa"/>
              <w:bottom w:w="0" w:type="dxa"/>
              <w:right w:w="108" w:type="dxa"/>
            </w:tcMar>
            <w:hideMark/>
          </w:tcPr>
          <w:p w14:paraId="295B05C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263</w:t>
            </w:r>
          </w:p>
          <w:p w14:paraId="23F8D2A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61</w:t>
            </w:r>
          </w:p>
        </w:tc>
        <w:tc>
          <w:tcPr>
            <w:tcW w:w="1547" w:type="dxa"/>
            <w:tcBorders>
              <w:top w:val="nil"/>
              <w:left w:val="nil"/>
              <w:bottom w:val="double" w:sz="6" w:space="0" w:color="auto"/>
              <w:right w:val="nil"/>
            </w:tcBorders>
            <w:tcMar>
              <w:top w:w="0" w:type="dxa"/>
              <w:left w:w="108" w:type="dxa"/>
              <w:bottom w:w="0" w:type="dxa"/>
              <w:right w:w="108" w:type="dxa"/>
            </w:tcMar>
            <w:hideMark/>
          </w:tcPr>
          <w:p w14:paraId="1BB6D93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201</w:t>
            </w:r>
          </w:p>
          <w:p w14:paraId="50B8E14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33</w:t>
            </w:r>
          </w:p>
        </w:tc>
      </w:tr>
      <w:tr w:rsidR="006E5C07" w:rsidRPr="006E5C07" w14:paraId="41B73723" w14:textId="77777777" w:rsidTr="006E5C07">
        <w:tc>
          <w:tcPr>
            <w:tcW w:w="3720" w:type="dxa"/>
            <w:tcMar>
              <w:top w:w="0" w:type="dxa"/>
              <w:left w:w="108" w:type="dxa"/>
              <w:bottom w:w="0" w:type="dxa"/>
              <w:right w:w="108" w:type="dxa"/>
            </w:tcMar>
            <w:hideMark/>
          </w:tcPr>
          <w:p w14:paraId="5E4238FD" w14:textId="77777777" w:rsidR="006E5C07" w:rsidRPr="006E5C07" w:rsidRDefault="006E5C07" w:rsidP="006E5C07">
            <w:pPr>
              <w:spacing w:after="0" w:line="240" w:lineRule="auto"/>
              <w:rPr>
                <w:rFonts w:ascii="Calibri" w:eastAsia="Times New Roman" w:hAnsi="Calibri" w:cs="Calibri"/>
              </w:rPr>
            </w:pPr>
          </w:p>
        </w:tc>
        <w:tc>
          <w:tcPr>
            <w:tcW w:w="1626" w:type="dxa"/>
            <w:tcBorders>
              <w:top w:val="nil"/>
              <w:left w:val="nil"/>
              <w:bottom w:val="nil"/>
              <w:right w:val="nil"/>
            </w:tcBorders>
            <w:tcMar>
              <w:top w:w="0" w:type="dxa"/>
              <w:left w:w="108" w:type="dxa"/>
              <w:bottom w:w="0" w:type="dxa"/>
              <w:right w:w="108" w:type="dxa"/>
            </w:tcMar>
            <w:hideMark/>
          </w:tcPr>
          <w:p w14:paraId="2D913154" w14:textId="77777777" w:rsidR="006E5C07" w:rsidRPr="006E5C07" w:rsidRDefault="006E5C07" w:rsidP="006E5C07">
            <w:pPr>
              <w:spacing w:after="0" w:line="240" w:lineRule="auto"/>
              <w:jc w:val="right"/>
              <w:rPr>
                <w:rFonts w:ascii="Calibri" w:eastAsia="Times New Roman" w:hAnsi="Calibri" w:cs="Calibri"/>
                <w:b/>
                <w:bCs/>
              </w:rPr>
            </w:pPr>
          </w:p>
        </w:tc>
        <w:tc>
          <w:tcPr>
            <w:tcW w:w="1547" w:type="dxa"/>
            <w:tcBorders>
              <w:top w:val="nil"/>
              <w:left w:val="nil"/>
              <w:bottom w:val="nil"/>
              <w:right w:val="nil"/>
            </w:tcBorders>
            <w:tcMar>
              <w:top w:w="0" w:type="dxa"/>
              <w:left w:w="108" w:type="dxa"/>
              <w:bottom w:w="0" w:type="dxa"/>
              <w:right w:w="108" w:type="dxa"/>
            </w:tcMar>
            <w:hideMark/>
          </w:tcPr>
          <w:p w14:paraId="361E412D"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67A2EA7B" w14:textId="77777777" w:rsidTr="006E5C07">
        <w:tc>
          <w:tcPr>
            <w:tcW w:w="3720" w:type="dxa"/>
            <w:tcMar>
              <w:top w:w="0" w:type="dxa"/>
              <w:left w:w="108" w:type="dxa"/>
              <w:bottom w:w="0" w:type="dxa"/>
              <w:right w:w="108" w:type="dxa"/>
            </w:tcMar>
            <w:hideMark/>
          </w:tcPr>
          <w:p w14:paraId="2CCB00C0"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Auditor's remuneration:</w:t>
            </w:r>
          </w:p>
        </w:tc>
        <w:tc>
          <w:tcPr>
            <w:tcW w:w="1626" w:type="dxa"/>
            <w:tcMar>
              <w:top w:w="0" w:type="dxa"/>
              <w:left w:w="108" w:type="dxa"/>
              <w:bottom w:w="0" w:type="dxa"/>
              <w:right w:w="108" w:type="dxa"/>
            </w:tcMar>
            <w:hideMark/>
          </w:tcPr>
          <w:p w14:paraId="02E880B9" w14:textId="77777777" w:rsidR="006E5C07" w:rsidRPr="006E5C07" w:rsidRDefault="006E5C07" w:rsidP="006E5C07">
            <w:pPr>
              <w:spacing w:after="0" w:line="240" w:lineRule="auto"/>
              <w:jc w:val="right"/>
              <w:rPr>
                <w:rFonts w:ascii="Calibri" w:eastAsia="Times New Roman" w:hAnsi="Calibri" w:cs="Calibri"/>
              </w:rPr>
            </w:pPr>
          </w:p>
        </w:tc>
        <w:tc>
          <w:tcPr>
            <w:tcW w:w="1547" w:type="dxa"/>
            <w:tcMar>
              <w:top w:w="0" w:type="dxa"/>
              <w:left w:w="108" w:type="dxa"/>
              <w:bottom w:w="0" w:type="dxa"/>
              <w:right w:w="108" w:type="dxa"/>
            </w:tcMar>
            <w:hideMark/>
          </w:tcPr>
          <w:p w14:paraId="2C9EEAD0"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12CCFC59" w14:textId="77777777" w:rsidTr="006E5C07">
        <w:tc>
          <w:tcPr>
            <w:tcW w:w="3720" w:type="dxa"/>
            <w:tcMar>
              <w:top w:w="0" w:type="dxa"/>
              <w:left w:w="108" w:type="dxa"/>
              <w:bottom w:w="0" w:type="dxa"/>
              <w:right w:w="108" w:type="dxa"/>
            </w:tcMar>
            <w:hideMark/>
          </w:tcPr>
          <w:p w14:paraId="700A5503"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Fees payable for:</w:t>
            </w:r>
          </w:p>
        </w:tc>
        <w:tc>
          <w:tcPr>
            <w:tcW w:w="1626" w:type="dxa"/>
            <w:tcMar>
              <w:top w:w="0" w:type="dxa"/>
              <w:left w:w="108" w:type="dxa"/>
              <w:bottom w:w="0" w:type="dxa"/>
              <w:right w:w="108" w:type="dxa"/>
            </w:tcMar>
            <w:hideMark/>
          </w:tcPr>
          <w:p w14:paraId="576C363F" w14:textId="77777777" w:rsidR="006E5C07" w:rsidRPr="006E5C07" w:rsidRDefault="006E5C07" w:rsidP="006E5C07">
            <w:pPr>
              <w:spacing w:after="0" w:line="240" w:lineRule="auto"/>
              <w:jc w:val="right"/>
              <w:rPr>
                <w:rFonts w:ascii="Calibri" w:eastAsia="Times New Roman" w:hAnsi="Calibri" w:cs="Calibri"/>
              </w:rPr>
            </w:pPr>
          </w:p>
        </w:tc>
        <w:tc>
          <w:tcPr>
            <w:tcW w:w="1547" w:type="dxa"/>
            <w:tcMar>
              <w:top w:w="0" w:type="dxa"/>
              <w:left w:w="108" w:type="dxa"/>
              <w:bottom w:w="0" w:type="dxa"/>
              <w:right w:w="108" w:type="dxa"/>
            </w:tcMar>
            <w:hideMark/>
          </w:tcPr>
          <w:p w14:paraId="6D69E6ED"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14BF5BEE" w14:textId="77777777" w:rsidTr="006E5C07">
        <w:tc>
          <w:tcPr>
            <w:tcW w:w="3720" w:type="dxa"/>
            <w:tcMar>
              <w:top w:w="0" w:type="dxa"/>
              <w:left w:w="108" w:type="dxa"/>
              <w:bottom w:w="0" w:type="dxa"/>
              <w:right w:w="108" w:type="dxa"/>
            </w:tcMar>
            <w:hideMark/>
          </w:tcPr>
          <w:p w14:paraId="5CF9ABAF"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Audit of Company</w:t>
            </w:r>
          </w:p>
        </w:tc>
        <w:tc>
          <w:tcPr>
            <w:tcW w:w="1626" w:type="dxa"/>
            <w:tcMar>
              <w:top w:w="0" w:type="dxa"/>
              <w:left w:w="108" w:type="dxa"/>
              <w:bottom w:w="0" w:type="dxa"/>
              <w:right w:w="108" w:type="dxa"/>
            </w:tcMar>
            <w:hideMark/>
          </w:tcPr>
          <w:p w14:paraId="713C521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27</w:t>
            </w:r>
          </w:p>
        </w:tc>
        <w:tc>
          <w:tcPr>
            <w:tcW w:w="1547" w:type="dxa"/>
            <w:tcMar>
              <w:top w:w="0" w:type="dxa"/>
              <w:left w:w="108" w:type="dxa"/>
              <w:bottom w:w="0" w:type="dxa"/>
              <w:right w:w="108" w:type="dxa"/>
            </w:tcMar>
            <w:hideMark/>
          </w:tcPr>
          <w:p w14:paraId="3226C77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23</w:t>
            </w:r>
          </w:p>
        </w:tc>
      </w:tr>
      <w:tr w:rsidR="006E5C07" w:rsidRPr="006E5C07" w14:paraId="32A66D4D" w14:textId="77777777" w:rsidTr="006E5C07">
        <w:tc>
          <w:tcPr>
            <w:tcW w:w="3720" w:type="dxa"/>
            <w:tcMar>
              <w:top w:w="0" w:type="dxa"/>
              <w:left w:w="108" w:type="dxa"/>
              <w:bottom w:w="0" w:type="dxa"/>
              <w:right w:w="108" w:type="dxa"/>
            </w:tcMar>
            <w:hideMark/>
          </w:tcPr>
          <w:p w14:paraId="0C366D51"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Audit of subsidiary undertakings</w:t>
            </w:r>
          </w:p>
        </w:tc>
        <w:tc>
          <w:tcPr>
            <w:tcW w:w="1626" w:type="dxa"/>
            <w:tcMar>
              <w:top w:w="0" w:type="dxa"/>
              <w:left w:w="108" w:type="dxa"/>
              <w:bottom w:w="0" w:type="dxa"/>
              <w:right w:w="108" w:type="dxa"/>
            </w:tcMar>
            <w:hideMark/>
          </w:tcPr>
          <w:p w14:paraId="1F0C643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16</w:t>
            </w:r>
          </w:p>
        </w:tc>
        <w:tc>
          <w:tcPr>
            <w:tcW w:w="1547" w:type="dxa"/>
            <w:tcMar>
              <w:top w:w="0" w:type="dxa"/>
              <w:left w:w="108" w:type="dxa"/>
              <w:bottom w:w="0" w:type="dxa"/>
              <w:right w:w="108" w:type="dxa"/>
            </w:tcMar>
            <w:hideMark/>
          </w:tcPr>
          <w:p w14:paraId="396D56C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17</w:t>
            </w:r>
          </w:p>
        </w:tc>
      </w:tr>
      <w:tr w:rsidR="006E5C07" w:rsidRPr="006E5C07" w14:paraId="05538DB6" w14:textId="77777777" w:rsidTr="006E5C07">
        <w:tc>
          <w:tcPr>
            <w:tcW w:w="3720" w:type="dxa"/>
            <w:tcMar>
              <w:top w:w="0" w:type="dxa"/>
              <w:left w:w="108" w:type="dxa"/>
              <w:bottom w:w="0" w:type="dxa"/>
              <w:right w:w="108" w:type="dxa"/>
            </w:tcMar>
            <w:hideMark/>
          </w:tcPr>
          <w:p w14:paraId="35BC037B"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Tax services</w:t>
            </w:r>
          </w:p>
        </w:tc>
        <w:tc>
          <w:tcPr>
            <w:tcW w:w="1626" w:type="dxa"/>
            <w:tcMar>
              <w:top w:w="0" w:type="dxa"/>
              <w:left w:w="108" w:type="dxa"/>
              <w:bottom w:w="0" w:type="dxa"/>
              <w:right w:w="108" w:type="dxa"/>
            </w:tcMar>
            <w:hideMark/>
          </w:tcPr>
          <w:p w14:paraId="08DE5DB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w:t>
            </w:r>
          </w:p>
        </w:tc>
        <w:tc>
          <w:tcPr>
            <w:tcW w:w="1547" w:type="dxa"/>
            <w:tcMar>
              <w:top w:w="0" w:type="dxa"/>
              <w:left w:w="108" w:type="dxa"/>
              <w:bottom w:w="0" w:type="dxa"/>
              <w:right w:w="108" w:type="dxa"/>
            </w:tcMar>
            <w:hideMark/>
          </w:tcPr>
          <w:p w14:paraId="55BE6C7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13</w:t>
            </w:r>
          </w:p>
        </w:tc>
      </w:tr>
      <w:tr w:rsidR="006E5C07" w:rsidRPr="006E5C07" w14:paraId="15D61893" w14:textId="77777777" w:rsidTr="006E5C07">
        <w:tc>
          <w:tcPr>
            <w:tcW w:w="3720" w:type="dxa"/>
            <w:tcMar>
              <w:top w:w="0" w:type="dxa"/>
              <w:left w:w="108" w:type="dxa"/>
              <w:bottom w:w="0" w:type="dxa"/>
              <w:right w:w="108" w:type="dxa"/>
            </w:tcMar>
            <w:hideMark/>
          </w:tcPr>
          <w:p w14:paraId="71704459"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Other services</w:t>
            </w:r>
          </w:p>
        </w:tc>
        <w:tc>
          <w:tcPr>
            <w:tcW w:w="1626" w:type="dxa"/>
            <w:tcBorders>
              <w:top w:val="nil"/>
              <w:left w:val="nil"/>
              <w:bottom w:val="single" w:sz="8" w:space="0" w:color="auto"/>
              <w:right w:val="nil"/>
            </w:tcBorders>
            <w:tcMar>
              <w:top w:w="0" w:type="dxa"/>
              <w:left w:w="108" w:type="dxa"/>
              <w:bottom w:w="0" w:type="dxa"/>
              <w:right w:w="108" w:type="dxa"/>
            </w:tcMar>
            <w:hideMark/>
          </w:tcPr>
          <w:p w14:paraId="7AFB043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19</w:t>
            </w:r>
          </w:p>
        </w:tc>
        <w:tc>
          <w:tcPr>
            <w:tcW w:w="1547" w:type="dxa"/>
            <w:tcBorders>
              <w:top w:val="nil"/>
              <w:left w:val="nil"/>
              <w:bottom w:val="single" w:sz="8" w:space="0" w:color="auto"/>
              <w:right w:val="nil"/>
            </w:tcBorders>
            <w:tcMar>
              <w:top w:w="0" w:type="dxa"/>
              <w:left w:w="108" w:type="dxa"/>
              <w:bottom w:w="0" w:type="dxa"/>
              <w:right w:w="108" w:type="dxa"/>
            </w:tcMar>
            <w:hideMark/>
          </w:tcPr>
          <w:p w14:paraId="0ADE866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18</w:t>
            </w:r>
          </w:p>
        </w:tc>
      </w:tr>
      <w:tr w:rsidR="006E5C07" w:rsidRPr="006E5C07" w14:paraId="384B6CED" w14:textId="77777777" w:rsidTr="006E5C07">
        <w:tc>
          <w:tcPr>
            <w:tcW w:w="3720" w:type="dxa"/>
            <w:tcMar>
              <w:top w:w="0" w:type="dxa"/>
              <w:left w:w="108" w:type="dxa"/>
              <w:bottom w:w="0" w:type="dxa"/>
              <w:right w:w="108" w:type="dxa"/>
            </w:tcMar>
            <w:hideMark/>
          </w:tcPr>
          <w:p w14:paraId="51797101" w14:textId="77777777" w:rsidR="006E5C07" w:rsidRPr="006E5C07" w:rsidRDefault="006E5C07" w:rsidP="006E5C07">
            <w:pPr>
              <w:spacing w:after="0" w:line="240" w:lineRule="auto"/>
              <w:rPr>
                <w:rFonts w:ascii="Calibri" w:eastAsia="Times New Roman" w:hAnsi="Calibri" w:cs="Calibri"/>
              </w:rPr>
            </w:pPr>
          </w:p>
        </w:tc>
        <w:tc>
          <w:tcPr>
            <w:tcW w:w="1626" w:type="dxa"/>
            <w:tcBorders>
              <w:top w:val="nil"/>
              <w:left w:val="nil"/>
              <w:bottom w:val="single" w:sz="8" w:space="0" w:color="auto"/>
              <w:right w:val="nil"/>
            </w:tcBorders>
            <w:tcMar>
              <w:top w:w="0" w:type="dxa"/>
              <w:left w:w="108" w:type="dxa"/>
              <w:bottom w:w="0" w:type="dxa"/>
              <w:right w:w="108" w:type="dxa"/>
            </w:tcMar>
            <w:hideMark/>
          </w:tcPr>
          <w:p w14:paraId="3AF116A5"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69</w:t>
            </w:r>
          </w:p>
        </w:tc>
        <w:tc>
          <w:tcPr>
            <w:tcW w:w="1547" w:type="dxa"/>
            <w:tcBorders>
              <w:top w:val="nil"/>
              <w:left w:val="nil"/>
              <w:bottom w:val="single" w:sz="8" w:space="0" w:color="auto"/>
              <w:right w:val="nil"/>
            </w:tcBorders>
            <w:tcMar>
              <w:top w:w="0" w:type="dxa"/>
              <w:left w:w="108" w:type="dxa"/>
              <w:bottom w:w="0" w:type="dxa"/>
              <w:right w:w="108" w:type="dxa"/>
            </w:tcMar>
            <w:hideMark/>
          </w:tcPr>
          <w:p w14:paraId="4DFE8544"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71</w:t>
            </w:r>
          </w:p>
        </w:tc>
      </w:tr>
      <w:tr w:rsidR="006E5C07" w:rsidRPr="006E5C07" w14:paraId="285225C9" w14:textId="77777777" w:rsidTr="006E5C07">
        <w:tc>
          <w:tcPr>
            <w:tcW w:w="3720" w:type="dxa"/>
            <w:tcMar>
              <w:top w:w="0" w:type="dxa"/>
              <w:left w:w="108" w:type="dxa"/>
              <w:bottom w:w="0" w:type="dxa"/>
              <w:right w:w="108" w:type="dxa"/>
            </w:tcMar>
            <w:hideMark/>
          </w:tcPr>
          <w:p w14:paraId="409E972A" w14:textId="77777777" w:rsidR="006E5C07" w:rsidRPr="006E5C07" w:rsidRDefault="006E5C07" w:rsidP="006E5C07">
            <w:pPr>
              <w:spacing w:after="0" w:line="240" w:lineRule="auto"/>
              <w:rPr>
                <w:rFonts w:ascii="Calibri" w:eastAsia="Times New Roman" w:hAnsi="Calibri" w:cs="Calibri"/>
              </w:rPr>
            </w:pPr>
          </w:p>
        </w:tc>
        <w:tc>
          <w:tcPr>
            <w:tcW w:w="1626" w:type="dxa"/>
            <w:tcBorders>
              <w:top w:val="nil"/>
              <w:left w:val="nil"/>
              <w:bottom w:val="nil"/>
              <w:right w:val="nil"/>
            </w:tcBorders>
            <w:tcMar>
              <w:top w:w="0" w:type="dxa"/>
              <w:left w:w="108" w:type="dxa"/>
              <w:bottom w:w="0" w:type="dxa"/>
              <w:right w:w="108" w:type="dxa"/>
            </w:tcMar>
            <w:hideMark/>
          </w:tcPr>
          <w:p w14:paraId="1F1A02A6" w14:textId="77777777" w:rsidR="006E5C07" w:rsidRPr="006E5C07" w:rsidRDefault="006E5C07" w:rsidP="006E5C07">
            <w:pPr>
              <w:spacing w:after="0" w:line="240" w:lineRule="auto"/>
              <w:jc w:val="right"/>
              <w:rPr>
                <w:rFonts w:ascii="Calibri" w:eastAsia="Times New Roman" w:hAnsi="Calibri" w:cs="Calibri"/>
              </w:rPr>
            </w:pPr>
          </w:p>
        </w:tc>
        <w:tc>
          <w:tcPr>
            <w:tcW w:w="1547" w:type="dxa"/>
            <w:tcBorders>
              <w:top w:val="nil"/>
              <w:left w:val="nil"/>
              <w:bottom w:val="nil"/>
              <w:right w:val="nil"/>
            </w:tcBorders>
            <w:tcMar>
              <w:top w:w="0" w:type="dxa"/>
              <w:left w:w="108" w:type="dxa"/>
              <w:bottom w:w="0" w:type="dxa"/>
              <w:right w:w="108" w:type="dxa"/>
            </w:tcMar>
            <w:hideMark/>
          </w:tcPr>
          <w:p w14:paraId="43E44C5B"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2732BFD0" w14:textId="77777777" w:rsidTr="006E5C07">
        <w:tc>
          <w:tcPr>
            <w:tcW w:w="3720" w:type="dxa"/>
            <w:tcMar>
              <w:top w:w="0" w:type="dxa"/>
              <w:left w:w="108" w:type="dxa"/>
              <w:bottom w:w="0" w:type="dxa"/>
              <w:right w:w="108" w:type="dxa"/>
            </w:tcMar>
            <w:hideMark/>
          </w:tcPr>
          <w:p w14:paraId="72806AFB"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Directors' remuneration</w:t>
            </w:r>
          </w:p>
        </w:tc>
        <w:tc>
          <w:tcPr>
            <w:tcW w:w="1626" w:type="dxa"/>
            <w:tcBorders>
              <w:top w:val="single" w:sz="8" w:space="0" w:color="auto"/>
              <w:left w:val="nil"/>
              <w:bottom w:val="single" w:sz="8" w:space="0" w:color="auto"/>
              <w:right w:val="nil"/>
            </w:tcBorders>
            <w:tcMar>
              <w:top w:w="0" w:type="dxa"/>
              <w:left w:w="108" w:type="dxa"/>
              <w:bottom w:w="0" w:type="dxa"/>
              <w:right w:w="108" w:type="dxa"/>
            </w:tcMar>
            <w:hideMark/>
          </w:tcPr>
          <w:p w14:paraId="43950CA7"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887</w:t>
            </w:r>
          </w:p>
        </w:tc>
        <w:tc>
          <w:tcPr>
            <w:tcW w:w="1547" w:type="dxa"/>
            <w:tcBorders>
              <w:top w:val="single" w:sz="8" w:space="0" w:color="auto"/>
              <w:left w:val="nil"/>
              <w:bottom w:val="single" w:sz="8" w:space="0" w:color="auto"/>
              <w:right w:val="nil"/>
            </w:tcBorders>
            <w:tcMar>
              <w:top w:w="0" w:type="dxa"/>
              <w:left w:w="108" w:type="dxa"/>
              <w:bottom w:w="0" w:type="dxa"/>
              <w:right w:w="108" w:type="dxa"/>
            </w:tcMar>
            <w:hideMark/>
          </w:tcPr>
          <w:p w14:paraId="48134B0B"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525</w:t>
            </w:r>
          </w:p>
        </w:tc>
      </w:tr>
    </w:tbl>
    <w:p w14:paraId="60F547BB"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3CCDC17A" w14:textId="77777777" w:rsidR="006E5C07" w:rsidRPr="006E5C07" w:rsidRDefault="006E5C07" w:rsidP="006E5C07">
      <w:pPr>
        <w:spacing w:after="200" w:line="253" w:lineRule="atLeast"/>
        <w:ind w:hanging="567"/>
        <w:jc w:val="both"/>
        <w:rPr>
          <w:rFonts w:ascii="Calibri" w:eastAsia="Times New Roman" w:hAnsi="Calibri" w:cs="Calibri"/>
          <w:color w:val="16202C"/>
        </w:rPr>
      </w:pPr>
      <w:r w:rsidRPr="006E5C07">
        <w:rPr>
          <w:rFonts w:ascii="Gill Sans MT" w:eastAsia="Times New Roman" w:hAnsi="Gill Sans MT" w:cs="Calibri"/>
          <w:b/>
          <w:bCs/>
          <w:color w:val="16202C"/>
          <w:sz w:val="18"/>
          <w:szCs w:val="18"/>
        </w:rPr>
        <w:t>7.         Staff costs</w:t>
      </w:r>
    </w:p>
    <w:p w14:paraId="3C84386B" w14:textId="77777777" w:rsidR="006E5C07" w:rsidRPr="006E5C07" w:rsidRDefault="006E5C07" w:rsidP="006E5C07">
      <w:pPr>
        <w:spacing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The average number of employees in the Group during the period was as follows:</w:t>
      </w:r>
    </w:p>
    <w:tbl>
      <w:tblPr>
        <w:tblW w:w="0" w:type="auto"/>
        <w:tblInd w:w="-108" w:type="dxa"/>
        <w:tblCellMar>
          <w:left w:w="0" w:type="dxa"/>
          <w:right w:w="0" w:type="dxa"/>
        </w:tblCellMar>
        <w:tblLook w:val="04A0" w:firstRow="1" w:lastRow="0" w:firstColumn="1" w:lastColumn="0" w:noHBand="0" w:noVBand="1"/>
      </w:tblPr>
      <w:tblGrid>
        <w:gridCol w:w="3720"/>
        <w:gridCol w:w="1626"/>
        <w:gridCol w:w="1627"/>
      </w:tblGrid>
      <w:tr w:rsidR="006E5C07" w:rsidRPr="006E5C07" w14:paraId="3AC9A6F6" w14:textId="77777777" w:rsidTr="006E5C07">
        <w:tc>
          <w:tcPr>
            <w:tcW w:w="3720" w:type="dxa"/>
            <w:tcMar>
              <w:top w:w="0" w:type="dxa"/>
              <w:left w:w="108" w:type="dxa"/>
              <w:bottom w:w="0" w:type="dxa"/>
              <w:right w:w="108" w:type="dxa"/>
            </w:tcMar>
            <w:hideMark/>
          </w:tcPr>
          <w:p w14:paraId="37752535" w14:textId="77777777" w:rsidR="006E5C07" w:rsidRPr="006E5C07" w:rsidRDefault="006E5C07" w:rsidP="006E5C07">
            <w:pPr>
              <w:spacing w:after="0" w:line="240" w:lineRule="auto"/>
              <w:rPr>
                <w:rFonts w:ascii="Calibri" w:eastAsia="Times New Roman" w:hAnsi="Calibri" w:cs="Calibri"/>
              </w:rPr>
            </w:pPr>
          </w:p>
        </w:tc>
        <w:tc>
          <w:tcPr>
            <w:tcW w:w="1626" w:type="dxa"/>
            <w:tcMar>
              <w:top w:w="0" w:type="dxa"/>
              <w:left w:w="108" w:type="dxa"/>
              <w:bottom w:w="0" w:type="dxa"/>
              <w:right w:w="108" w:type="dxa"/>
            </w:tcMar>
            <w:hideMark/>
          </w:tcPr>
          <w:p w14:paraId="24212EE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c>
          <w:tcPr>
            <w:tcW w:w="1627" w:type="dxa"/>
            <w:tcMar>
              <w:top w:w="0" w:type="dxa"/>
              <w:left w:w="108" w:type="dxa"/>
              <w:bottom w:w="0" w:type="dxa"/>
              <w:right w:w="108" w:type="dxa"/>
            </w:tcMar>
            <w:hideMark/>
          </w:tcPr>
          <w:p w14:paraId="28114D2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r>
      <w:tr w:rsidR="006E5C07" w:rsidRPr="006E5C07" w14:paraId="6E194B67" w14:textId="77777777" w:rsidTr="006E5C07">
        <w:tc>
          <w:tcPr>
            <w:tcW w:w="3720" w:type="dxa"/>
            <w:tcMar>
              <w:top w:w="0" w:type="dxa"/>
              <w:left w:w="108" w:type="dxa"/>
              <w:bottom w:w="0" w:type="dxa"/>
              <w:right w:w="108" w:type="dxa"/>
            </w:tcMar>
            <w:hideMark/>
          </w:tcPr>
          <w:p w14:paraId="65170461" w14:textId="77777777" w:rsidR="006E5C07" w:rsidRPr="006E5C07" w:rsidRDefault="006E5C07" w:rsidP="006E5C07">
            <w:pPr>
              <w:spacing w:after="0" w:line="240" w:lineRule="auto"/>
              <w:rPr>
                <w:rFonts w:ascii="Calibri" w:eastAsia="Times New Roman" w:hAnsi="Calibri" w:cs="Calibri"/>
              </w:rPr>
            </w:pPr>
          </w:p>
        </w:tc>
        <w:tc>
          <w:tcPr>
            <w:tcW w:w="1626" w:type="dxa"/>
            <w:tcMar>
              <w:top w:w="0" w:type="dxa"/>
              <w:left w:w="108" w:type="dxa"/>
              <w:bottom w:w="0" w:type="dxa"/>
              <w:right w:w="108" w:type="dxa"/>
            </w:tcMar>
            <w:hideMark/>
          </w:tcPr>
          <w:p w14:paraId="3F0FF55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December '20</w:t>
            </w:r>
          </w:p>
        </w:tc>
        <w:tc>
          <w:tcPr>
            <w:tcW w:w="1627" w:type="dxa"/>
            <w:tcMar>
              <w:top w:w="0" w:type="dxa"/>
              <w:left w:w="108" w:type="dxa"/>
              <w:bottom w:w="0" w:type="dxa"/>
              <w:right w:w="108" w:type="dxa"/>
            </w:tcMar>
            <w:hideMark/>
          </w:tcPr>
          <w:p w14:paraId="624437B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December '19</w:t>
            </w:r>
          </w:p>
        </w:tc>
      </w:tr>
      <w:tr w:rsidR="006E5C07" w:rsidRPr="006E5C07" w14:paraId="1D42879A" w14:textId="77777777" w:rsidTr="006E5C07">
        <w:tc>
          <w:tcPr>
            <w:tcW w:w="3720" w:type="dxa"/>
            <w:tcMar>
              <w:top w:w="0" w:type="dxa"/>
              <w:left w:w="108" w:type="dxa"/>
              <w:bottom w:w="0" w:type="dxa"/>
              <w:right w:w="108" w:type="dxa"/>
            </w:tcMar>
            <w:hideMark/>
          </w:tcPr>
          <w:p w14:paraId="5B6EA0E8" w14:textId="77777777" w:rsidR="006E5C07" w:rsidRPr="006E5C07" w:rsidRDefault="006E5C07" w:rsidP="006E5C07">
            <w:pPr>
              <w:spacing w:after="0" w:line="240" w:lineRule="auto"/>
              <w:rPr>
                <w:rFonts w:ascii="Calibri" w:eastAsia="Times New Roman" w:hAnsi="Calibri" w:cs="Calibri"/>
              </w:rPr>
            </w:pPr>
          </w:p>
        </w:tc>
        <w:tc>
          <w:tcPr>
            <w:tcW w:w="1626" w:type="dxa"/>
            <w:tcMar>
              <w:top w:w="0" w:type="dxa"/>
              <w:left w:w="108" w:type="dxa"/>
              <w:bottom w:w="0" w:type="dxa"/>
              <w:right w:w="108" w:type="dxa"/>
            </w:tcMar>
            <w:hideMark/>
          </w:tcPr>
          <w:p w14:paraId="3E1FD31A" w14:textId="77777777" w:rsidR="006E5C07" w:rsidRPr="006E5C07" w:rsidRDefault="006E5C07" w:rsidP="006E5C07">
            <w:pPr>
              <w:spacing w:after="0" w:line="240" w:lineRule="auto"/>
              <w:jc w:val="right"/>
              <w:rPr>
                <w:rFonts w:ascii="Calibri" w:eastAsia="Times New Roman" w:hAnsi="Calibri" w:cs="Calibri"/>
              </w:rPr>
            </w:pPr>
          </w:p>
        </w:tc>
        <w:tc>
          <w:tcPr>
            <w:tcW w:w="1627" w:type="dxa"/>
            <w:tcMar>
              <w:top w:w="0" w:type="dxa"/>
              <w:left w:w="108" w:type="dxa"/>
              <w:bottom w:w="0" w:type="dxa"/>
              <w:right w:w="108" w:type="dxa"/>
            </w:tcMar>
            <w:hideMark/>
          </w:tcPr>
          <w:p w14:paraId="65F258B8"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2CC3A0D2" w14:textId="77777777" w:rsidTr="006E5C07">
        <w:tc>
          <w:tcPr>
            <w:tcW w:w="3720" w:type="dxa"/>
            <w:tcMar>
              <w:top w:w="0" w:type="dxa"/>
              <w:left w:w="108" w:type="dxa"/>
              <w:bottom w:w="0" w:type="dxa"/>
              <w:right w:w="108" w:type="dxa"/>
            </w:tcMar>
            <w:hideMark/>
          </w:tcPr>
          <w:p w14:paraId="1C58E2FC"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Executive Directors</w:t>
            </w:r>
          </w:p>
          <w:p w14:paraId="19088E5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Non-executive Directors</w:t>
            </w:r>
          </w:p>
        </w:tc>
        <w:tc>
          <w:tcPr>
            <w:tcW w:w="1626" w:type="dxa"/>
            <w:tcMar>
              <w:top w:w="0" w:type="dxa"/>
              <w:left w:w="108" w:type="dxa"/>
              <w:bottom w:w="0" w:type="dxa"/>
              <w:right w:w="108" w:type="dxa"/>
            </w:tcMar>
            <w:hideMark/>
          </w:tcPr>
          <w:p w14:paraId="7848E98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w:t>
            </w:r>
          </w:p>
          <w:p w14:paraId="2032F48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w:t>
            </w:r>
          </w:p>
        </w:tc>
        <w:tc>
          <w:tcPr>
            <w:tcW w:w="1627" w:type="dxa"/>
            <w:tcMar>
              <w:top w:w="0" w:type="dxa"/>
              <w:left w:w="108" w:type="dxa"/>
              <w:bottom w:w="0" w:type="dxa"/>
              <w:right w:w="108" w:type="dxa"/>
            </w:tcMar>
            <w:hideMark/>
          </w:tcPr>
          <w:p w14:paraId="5DDB797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w:t>
            </w:r>
          </w:p>
          <w:p w14:paraId="47D0B52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w:t>
            </w:r>
          </w:p>
        </w:tc>
      </w:tr>
      <w:tr w:rsidR="006E5C07" w:rsidRPr="006E5C07" w14:paraId="4356B3A5" w14:textId="77777777" w:rsidTr="006E5C07">
        <w:tc>
          <w:tcPr>
            <w:tcW w:w="3720" w:type="dxa"/>
            <w:tcMar>
              <w:top w:w="0" w:type="dxa"/>
              <w:left w:w="108" w:type="dxa"/>
              <w:bottom w:w="0" w:type="dxa"/>
              <w:right w:w="108" w:type="dxa"/>
            </w:tcMar>
            <w:hideMark/>
          </w:tcPr>
          <w:p w14:paraId="67FD5C79"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Administration</w:t>
            </w:r>
          </w:p>
        </w:tc>
        <w:tc>
          <w:tcPr>
            <w:tcW w:w="1626" w:type="dxa"/>
            <w:tcMar>
              <w:top w:w="0" w:type="dxa"/>
              <w:left w:w="108" w:type="dxa"/>
              <w:bottom w:w="0" w:type="dxa"/>
              <w:right w:w="108" w:type="dxa"/>
            </w:tcMar>
            <w:hideMark/>
          </w:tcPr>
          <w:p w14:paraId="7DD1730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25</w:t>
            </w:r>
          </w:p>
        </w:tc>
        <w:tc>
          <w:tcPr>
            <w:tcW w:w="1627" w:type="dxa"/>
            <w:tcMar>
              <w:top w:w="0" w:type="dxa"/>
              <w:left w:w="108" w:type="dxa"/>
              <w:bottom w:w="0" w:type="dxa"/>
              <w:right w:w="108" w:type="dxa"/>
            </w:tcMar>
            <w:hideMark/>
          </w:tcPr>
          <w:p w14:paraId="6736FB6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27</w:t>
            </w:r>
          </w:p>
        </w:tc>
      </w:tr>
      <w:tr w:rsidR="006E5C07" w:rsidRPr="006E5C07" w14:paraId="34C36248" w14:textId="77777777" w:rsidTr="006E5C07">
        <w:tc>
          <w:tcPr>
            <w:tcW w:w="3720" w:type="dxa"/>
            <w:tcMar>
              <w:top w:w="0" w:type="dxa"/>
              <w:left w:w="108" w:type="dxa"/>
              <w:bottom w:w="0" w:type="dxa"/>
              <w:right w:w="108" w:type="dxa"/>
            </w:tcMar>
            <w:hideMark/>
          </w:tcPr>
          <w:p w14:paraId="7036A0FF"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Telesales</w:t>
            </w:r>
          </w:p>
        </w:tc>
        <w:tc>
          <w:tcPr>
            <w:tcW w:w="1626" w:type="dxa"/>
            <w:tcMar>
              <w:top w:w="0" w:type="dxa"/>
              <w:left w:w="108" w:type="dxa"/>
              <w:bottom w:w="0" w:type="dxa"/>
              <w:right w:w="108" w:type="dxa"/>
            </w:tcMar>
            <w:hideMark/>
          </w:tcPr>
          <w:p w14:paraId="7ACB519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25</w:t>
            </w:r>
          </w:p>
        </w:tc>
        <w:tc>
          <w:tcPr>
            <w:tcW w:w="1627" w:type="dxa"/>
            <w:tcMar>
              <w:top w:w="0" w:type="dxa"/>
              <w:left w:w="108" w:type="dxa"/>
              <w:bottom w:w="0" w:type="dxa"/>
              <w:right w:w="108" w:type="dxa"/>
            </w:tcMar>
            <w:hideMark/>
          </w:tcPr>
          <w:p w14:paraId="650610E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33</w:t>
            </w:r>
          </w:p>
        </w:tc>
      </w:tr>
      <w:tr w:rsidR="006E5C07" w:rsidRPr="006E5C07" w14:paraId="794AC2B4" w14:textId="77777777" w:rsidTr="006E5C07">
        <w:tc>
          <w:tcPr>
            <w:tcW w:w="3720" w:type="dxa"/>
            <w:tcMar>
              <w:top w:w="0" w:type="dxa"/>
              <w:left w:w="108" w:type="dxa"/>
              <w:bottom w:w="0" w:type="dxa"/>
              <w:right w:w="108" w:type="dxa"/>
            </w:tcMar>
            <w:hideMark/>
          </w:tcPr>
          <w:p w14:paraId="469E415E"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Commercial</w:t>
            </w:r>
          </w:p>
        </w:tc>
        <w:tc>
          <w:tcPr>
            <w:tcW w:w="1626" w:type="dxa"/>
            <w:tcMar>
              <w:top w:w="0" w:type="dxa"/>
              <w:left w:w="108" w:type="dxa"/>
              <w:bottom w:w="0" w:type="dxa"/>
              <w:right w:w="108" w:type="dxa"/>
            </w:tcMar>
            <w:hideMark/>
          </w:tcPr>
          <w:p w14:paraId="403E8B7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w:t>
            </w:r>
          </w:p>
        </w:tc>
        <w:tc>
          <w:tcPr>
            <w:tcW w:w="1627" w:type="dxa"/>
            <w:tcMar>
              <w:top w:w="0" w:type="dxa"/>
              <w:left w:w="108" w:type="dxa"/>
              <w:bottom w:w="0" w:type="dxa"/>
              <w:right w:w="108" w:type="dxa"/>
            </w:tcMar>
            <w:hideMark/>
          </w:tcPr>
          <w:p w14:paraId="3A7A1A2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8</w:t>
            </w:r>
          </w:p>
        </w:tc>
      </w:tr>
      <w:tr w:rsidR="006E5C07" w:rsidRPr="006E5C07" w14:paraId="024E59DE" w14:textId="77777777" w:rsidTr="006E5C07">
        <w:tc>
          <w:tcPr>
            <w:tcW w:w="3720" w:type="dxa"/>
            <w:tcMar>
              <w:top w:w="0" w:type="dxa"/>
              <w:left w:w="108" w:type="dxa"/>
              <w:bottom w:w="0" w:type="dxa"/>
              <w:right w:w="108" w:type="dxa"/>
            </w:tcMar>
            <w:hideMark/>
          </w:tcPr>
          <w:p w14:paraId="441C607C"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Maintenance</w:t>
            </w:r>
          </w:p>
        </w:tc>
        <w:tc>
          <w:tcPr>
            <w:tcW w:w="1626" w:type="dxa"/>
            <w:tcBorders>
              <w:top w:val="nil"/>
              <w:left w:val="nil"/>
              <w:bottom w:val="single" w:sz="8" w:space="0" w:color="auto"/>
              <w:right w:val="nil"/>
            </w:tcBorders>
            <w:tcMar>
              <w:top w:w="0" w:type="dxa"/>
              <w:left w:w="108" w:type="dxa"/>
              <w:bottom w:w="0" w:type="dxa"/>
              <w:right w:w="108" w:type="dxa"/>
            </w:tcMar>
            <w:hideMark/>
          </w:tcPr>
          <w:p w14:paraId="0FAE60D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w:t>
            </w:r>
          </w:p>
        </w:tc>
        <w:tc>
          <w:tcPr>
            <w:tcW w:w="1627" w:type="dxa"/>
            <w:tcBorders>
              <w:top w:val="nil"/>
              <w:left w:val="nil"/>
              <w:bottom w:val="single" w:sz="8" w:space="0" w:color="auto"/>
              <w:right w:val="nil"/>
            </w:tcBorders>
            <w:tcMar>
              <w:top w:w="0" w:type="dxa"/>
              <w:left w:w="108" w:type="dxa"/>
              <w:bottom w:w="0" w:type="dxa"/>
              <w:right w:w="108" w:type="dxa"/>
            </w:tcMar>
            <w:hideMark/>
          </w:tcPr>
          <w:p w14:paraId="2FC70D1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w:t>
            </w:r>
          </w:p>
        </w:tc>
      </w:tr>
      <w:tr w:rsidR="006E5C07" w:rsidRPr="006E5C07" w14:paraId="1AC6C9C8" w14:textId="77777777" w:rsidTr="006E5C07">
        <w:tc>
          <w:tcPr>
            <w:tcW w:w="3720" w:type="dxa"/>
            <w:tcMar>
              <w:top w:w="0" w:type="dxa"/>
              <w:left w:w="108" w:type="dxa"/>
              <w:bottom w:w="0" w:type="dxa"/>
              <w:right w:w="108" w:type="dxa"/>
            </w:tcMar>
            <w:hideMark/>
          </w:tcPr>
          <w:p w14:paraId="12DA4EB3" w14:textId="77777777" w:rsidR="006E5C07" w:rsidRPr="006E5C07" w:rsidRDefault="006E5C07" w:rsidP="006E5C07">
            <w:pPr>
              <w:spacing w:after="0" w:line="240" w:lineRule="auto"/>
              <w:rPr>
                <w:rFonts w:ascii="Calibri" w:eastAsia="Times New Roman" w:hAnsi="Calibri" w:cs="Calibri"/>
              </w:rPr>
            </w:pPr>
          </w:p>
        </w:tc>
        <w:tc>
          <w:tcPr>
            <w:tcW w:w="1626" w:type="dxa"/>
            <w:tcBorders>
              <w:top w:val="nil"/>
              <w:left w:val="nil"/>
              <w:bottom w:val="single" w:sz="8" w:space="0" w:color="auto"/>
              <w:right w:val="nil"/>
            </w:tcBorders>
            <w:tcMar>
              <w:top w:w="0" w:type="dxa"/>
              <w:left w:w="108" w:type="dxa"/>
              <w:bottom w:w="0" w:type="dxa"/>
              <w:right w:w="108" w:type="dxa"/>
            </w:tcMar>
            <w:hideMark/>
          </w:tcPr>
          <w:p w14:paraId="5C09F395"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69</w:t>
            </w:r>
          </w:p>
        </w:tc>
        <w:tc>
          <w:tcPr>
            <w:tcW w:w="1627" w:type="dxa"/>
            <w:tcBorders>
              <w:top w:val="nil"/>
              <w:left w:val="nil"/>
              <w:bottom w:val="single" w:sz="8" w:space="0" w:color="auto"/>
              <w:right w:val="nil"/>
            </w:tcBorders>
            <w:tcMar>
              <w:top w:w="0" w:type="dxa"/>
              <w:left w:w="108" w:type="dxa"/>
              <w:bottom w:w="0" w:type="dxa"/>
              <w:right w:w="108" w:type="dxa"/>
            </w:tcMar>
            <w:hideMark/>
          </w:tcPr>
          <w:p w14:paraId="04D281B6"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80</w:t>
            </w:r>
          </w:p>
        </w:tc>
      </w:tr>
    </w:tbl>
    <w:p w14:paraId="5737CD01" w14:textId="77777777" w:rsidR="006E5C07" w:rsidRPr="006E5C07" w:rsidRDefault="006E5C07" w:rsidP="006E5C07">
      <w:pPr>
        <w:spacing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3720"/>
        <w:gridCol w:w="1626"/>
        <w:gridCol w:w="1627"/>
      </w:tblGrid>
      <w:tr w:rsidR="006E5C07" w:rsidRPr="006E5C07" w14:paraId="44098EB9" w14:textId="77777777" w:rsidTr="006E5C07">
        <w:tc>
          <w:tcPr>
            <w:tcW w:w="3720" w:type="dxa"/>
            <w:tcMar>
              <w:top w:w="0" w:type="dxa"/>
              <w:left w:w="108" w:type="dxa"/>
              <w:bottom w:w="0" w:type="dxa"/>
              <w:right w:w="108" w:type="dxa"/>
            </w:tcMar>
            <w:hideMark/>
          </w:tcPr>
          <w:p w14:paraId="12C086EB" w14:textId="77777777" w:rsidR="006E5C07" w:rsidRPr="006E5C07" w:rsidRDefault="006E5C07" w:rsidP="006E5C07">
            <w:pPr>
              <w:spacing w:after="0" w:line="240" w:lineRule="auto"/>
              <w:rPr>
                <w:rFonts w:ascii="Calibri" w:eastAsia="Times New Roman" w:hAnsi="Calibri" w:cs="Calibri"/>
              </w:rPr>
            </w:pPr>
          </w:p>
        </w:tc>
        <w:tc>
          <w:tcPr>
            <w:tcW w:w="1626" w:type="dxa"/>
            <w:tcMar>
              <w:top w:w="0" w:type="dxa"/>
              <w:left w:w="108" w:type="dxa"/>
              <w:bottom w:w="0" w:type="dxa"/>
              <w:right w:w="108" w:type="dxa"/>
            </w:tcMar>
            <w:hideMark/>
          </w:tcPr>
          <w:p w14:paraId="7F0499E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c>
          <w:tcPr>
            <w:tcW w:w="1627" w:type="dxa"/>
            <w:tcMar>
              <w:top w:w="0" w:type="dxa"/>
              <w:left w:w="108" w:type="dxa"/>
              <w:bottom w:w="0" w:type="dxa"/>
              <w:right w:w="108" w:type="dxa"/>
            </w:tcMar>
            <w:hideMark/>
          </w:tcPr>
          <w:p w14:paraId="6E90CCB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r>
      <w:tr w:rsidR="006E5C07" w:rsidRPr="006E5C07" w14:paraId="62A217CD" w14:textId="77777777" w:rsidTr="006E5C07">
        <w:tc>
          <w:tcPr>
            <w:tcW w:w="3720" w:type="dxa"/>
            <w:tcMar>
              <w:top w:w="0" w:type="dxa"/>
              <w:left w:w="108" w:type="dxa"/>
              <w:bottom w:w="0" w:type="dxa"/>
              <w:right w:w="108" w:type="dxa"/>
            </w:tcMar>
            <w:hideMark/>
          </w:tcPr>
          <w:p w14:paraId="3DB522C1" w14:textId="77777777" w:rsidR="006E5C07" w:rsidRPr="006E5C07" w:rsidRDefault="006E5C07" w:rsidP="006E5C07">
            <w:pPr>
              <w:spacing w:after="0" w:line="240" w:lineRule="auto"/>
              <w:rPr>
                <w:rFonts w:ascii="Calibri" w:eastAsia="Times New Roman" w:hAnsi="Calibri" w:cs="Calibri"/>
              </w:rPr>
            </w:pPr>
          </w:p>
        </w:tc>
        <w:tc>
          <w:tcPr>
            <w:tcW w:w="1626" w:type="dxa"/>
            <w:tcMar>
              <w:top w:w="0" w:type="dxa"/>
              <w:left w:w="108" w:type="dxa"/>
              <w:bottom w:w="0" w:type="dxa"/>
              <w:right w:w="108" w:type="dxa"/>
            </w:tcMar>
            <w:hideMark/>
          </w:tcPr>
          <w:p w14:paraId="69030DE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December '20</w:t>
            </w:r>
          </w:p>
        </w:tc>
        <w:tc>
          <w:tcPr>
            <w:tcW w:w="1627" w:type="dxa"/>
            <w:tcMar>
              <w:top w:w="0" w:type="dxa"/>
              <w:left w:w="108" w:type="dxa"/>
              <w:bottom w:w="0" w:type="dxa"/>
              <w:right w:w="108" w:type="dxa"/>
            </w:tcMar>
            <w:hideMark/>
          </w:tcPr>
          <w:p w14:paraId="3538E47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December '19</w:t>
            </w:r>
          </w:p>
        </w:tc>
      </w:tr>
      <w:tr w:rsidR="006E5C07" w:rsidRPr="006E5C07" w14:paraId="22584198" w14:textId="77777777" w:rsidTr="006E5C07">
        <w:tc>
          <w:tcPr>
            <w:tcW w:w="3720" w:type="dxa"/>
            <w:tcMar>
              <w:top w:w="0" w:type="dxa"/>
              <w:left w:w="108" w:type="dxa"/>
              <w:bottom w:w="0" w:type="dxa"/>
              <w:right w:w="108" w:type="dxa"/>
            </w:tcMar>
            <w:hideMark/>
          </w:tcPr>
          <w:p w14:paraId="7F77FA7F" w14:textId="77777777" w:rsidR="006E5C07" w:rsidRPr="006E5C07" w:rsidRDefault="006E5C07" w:rsidP="006E5C07">
            <w:pPr>
              <w:spacing w:after="0" w:line="240" w:lineRule="auto"/>
              <w:rPr>
                <w:rFonts w:ascii="Calibri" w:eastAsia="Times New Roman" w:hAnsi="Calibri" w:cs="Calibri"/>
              </w:rPr>
            </w:pPr>
          </w:p>
        </w:tc>
        <w:tc>
          <w:tcPr>
            <w:tcW w:w="1626" w:type="dxa"/>
            <w:tcMar>
              <w:top w:w="0" w:type="dxa"/>
              <w:left w:w="108" w:type="dxa"/>
              <w:bottom w:w="0" w:type="dxa"/>
              <w:right w:w="108" w:type="dxa"/>
            </w:tcMar>
            <w:hideMark/>
          </w:tcPr>
          <w:p w14:paraId="38D1D0F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1627" w:type="dxa"/>
            <w:tcMar>
              <w:top w:w="0" w:type="dxa"/>
              <w:left w:w="108" w:type="dxa"/>
              <w:bottom w:w="0" w:type="dxa"/>
              <w:right w:w="108" w:type="dxa"/>
            </w:tcMar>
            <w:hideMark/>
          </w:tcPr>
          <w:p w14:paraId="644ABD9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7495BD3F" w14:textId="77777777" w:rsidTr="006E5C07">
        <w:tc>
          <w:tcPr>
            <w:tcW w:w="3720" w:type="dxa"/>
            <w:tcMar>
              <w:top w:w="0" w:type="dxa"/>
              <w:left w:w="108" w:type="dxa"/>
              <w:bottom w:w="0" w:type="dxa"/>
              <w:right w:w="108" w:type="dxa"/>
            </w:tcMar>
            <w:hideMark/>
          </w:tcPr>
          <w:p w14:paraId="2ED921BC" w14:textId="77777777" w:rsidR="006E5C07" w:rsidRPr="006E5C07" w:rsidRDefault="006E5C07" w:rsidP="006E5C07">
            <w:pPr>
              <w:spacing w:after="0" w:line="240" w:lineRule="auto"/>
              <w:rPr>
                <w:rFonts w:ascii="Calibri" w:eastAsia="Times New Roman" w:hAnsi="Calibri" w:cs="Calibri"/>
              </w:rPr>
            </w:pPr>
          </w:p>
        </w:tc>
        <w:tc>
          <w:tcPr>
            <w:tcW w:w="1626" w:type="dxa"/>
            <w:tcMar>
              <w:top w:w="0" w:type="dxa"/>
              <w:left w:w="108" w:type="dxa"/>
              <w:bottom w:w="0" w:type="dxa"/>
              <w:right w:w="108" w:type="dxa"/>
            </w:tcMar>
            <w:hideMark/>
          </w:tcPr>
          <w:p w14:paraId="5AF00801" w14:textId="77777777" w:rsidR="006E5C07" w:rsidRPr="006E5C07" w:rsidRDefault="006E5C07" w:rsidP="006E5C07">
            <w:pPr>
              <w:spacing w:after="0" w:line="240" w:lineRule="auto"/>
              <w:jc w:val="right"/>
              <w:rPr>
                <w:rFonts w:ascii="Calibri" w:eastAsia="Times New Roman" w:hAnsi="Calibri" w:cs="Calibri"/>
              </w:rPr>
            </w:pPr>
          </w:p>
        </w:tc>
        <w:tc>
          <w:tcPr>
            <w:tcW w:w="1627" w:type="dxa"/>
            <w:tcMar>
              <w:top w:w="0" w:type="dxa"/>
              <w:left w:w="108" w:type="dxa"/>
              <w:bottom w:w="0" w:type="dxa"/>
              <w:right w:w="108" w:type="dxa"/>
            </w:tcMar>
            <w:hideMark/>
          </w:tcPr>
          <w:p w14:paraId="456FFEFB"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4389FA98" w14:textId="77777777" w:rsidTr="006E5C07">
        <w:tc>
          <w:tcPr>
            <w:tcW w:w="3720" w:type="dxa"/>
            <w:tcMar>
              <w:top w:w="0" w:type="dxa"/>
              <w:left w:w="108" w:type="dxa"/>
              <w:bottom w:w="0" w:type="dxa"/>
              <w:right w:w="108" w:type="dxa"/>
            </w:tcMar>
            <w:hideMark/>
          </w:tcPr>
          <w:p w14:paraId="2F8A0077"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Wages and salaries</w:t>
            </w:r>
          </w:p>
        </w:tc>
        <w:tc>
          <w:tcPr>
            <w:tcW w:w="1626" w:type="dxa"/>
            <w:tcMar>
              <w:top w:w="0" w:type="dxa"/>
              <w:left w:w="108" w:type="dxa"/>
              <w:bottom w:w="0" w:type="dxa"/>
              <w:right w:w="108" w:type="dxa"/>
            </w:tcMar>
            <w:hideMark/>
          </w:tcPr>
          <w:p w14:paraId="5C40A25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2,500</w:t>
            </w:r>
          </w:p>
        </w:tc>
        <w:tc>
          <w:tcPr>
            <w:tcW w:w="1627" w:type="dxa"/>
            <w:tcMar>
              <w:top w:w="0" w:type="dxa"/>
              <w:left w:w="108" w:type="dxa"/>
              <w:bottom w:w="0" w:type="dxa"/>
              <w:right w:w="108" w:type="dxa"/>
            </w:tcMar>
            <w:hideMark/>
          </w:tcPr>
          <w:p w14:paraId="36A06D3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2,960</w:t>
            </w:r>
          </w:p>
        </w:tc>
      </w:tr>
      <w:tr w:rsidR="006E5C07" w:rsidRPr="006E5C07" w14:paraId="4CF526BF" w14:textId="77777777" w:rsidTr="006E5C07">
        <w:tc>
          <w:tcPr>
            <w:tcW w:w="3720" w:type="dxa"/>
            <w:tcMar>
              <w:top w:w="0" w:type="dxa"/>
              <w:left w:w="108" w:type="dxa"/>
              <w:bottom w:w="0" w:type="dxa"/>
              <w:right w:w="108" w:type="dxa"/>
            </w:tcMar>
            <w:hideMark/>
          </w:tcPr>
          <w:p w14:paraId="1F5F747C"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Social Security costs</w:t>
            </w:r>
          </w:p>
        </w:tc>
        <w:tc>
          <w:tcPr>
            <w:tcW w:w="1626" w:type="dxa"/>
            <w:tcMar>
              <w:top w:w="0" w:type="dxa"/>
              <w:left w:w="108" w:type="dxa"/>
              <w:bottom w:w="0" w:type="dxa"/>
              <w:right w:w="108" w:type="dxa"/>
            </w:tcMar>
            <w:hideMark/>
          </w:tcPr>
          <w:p w14:paraId="2C0475A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276</w:t>
            </w:r>
          </w:p>
        </w:tc>
        <w:tc>
          <w:tcPr>
            <w:tcW w:w="1627" w:type="dxa"/>
            <w:tcMar>
              <w:top w:w="0" w:type="dxa"/>
              <w:left w:w="108" w:type="dxa"/>
              <w:bottom w:w="0" w:type="dxa"/>
              <w:right w:w="108" w:type="dxa"/>
            </w:tcMar>
            <w:hideMark/>
          </w:tcPr>
          <w:p w14:paraId="4222D29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361</w:t>
            </w:r>
          </w:p>
        </w:tc>
      </w:tr>
      <w:tr w:rsidR="006E5C07" w:rsidRPr="006E5C07" w14:paraId="61F2F40B" w14:textId="77777777" w:rsidTr="006E5C07">
        <w:tc>
          <w:tcPr>
            <w:tcW w:w="3720" w:type="dxa"/>
            <w:tcMar>
              <w:top w:w="0" w:type="dxa"/>
              <w:left w:w="108" w:type="dxa"/>
              <w:bottom w:w="0" w:type="dxa"/>
              <w:right w:w="108" w:type="dxa"/>
            </w:tcMar>
            <w:hideMark/>
          </w:tcPr>
          <w:p w14:paraId="73DC42F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Pensions</w:t>
            </w:r>
          </w:p>
        </w:tc>
        <w:tc>
          <w:tcPr>
            <w:tcW w:w="1626" w:type="dxa"/>
            <w:tcBorders>
              <w:top w:val="nil"/>
              <w:left w:val="nil"/>
              <w:bottom w:val="single" w:sz="8" w:space="0" w:color="auto"/>
              <w:right w:val="nil"/>
            </w:tcBorders>
            <w:tcMar>
              <w:top w:w="0" w:type="dxa"/>
              <w:left w:w="108" w:type="dxa"/>
              <w:bottom w:w="0" w:type="dxa"/>
              <w:right w:w="108" w:type="dxa"/>
            </w:tcMar>
            <w:hideMark/>
          </w:tcPr>
          <w:p w14:paraId="6401751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67</w:t>
            </w:r>
          </w:p>
        </w:tc>
        <w:tc>
          <w:tcPr>
            <w:tcW w:w="1627" w:type="dxa"/>
            <w:tcBorders>
              <w:top w:val="nil"/>
              <w:left w:val="nil"/>
              <w:bottom w:val="single" w:sz="8" w:space="0" w:color="auto"/>
              <w:right w:val="nil"/>
            </w:tcBorders>
            <w:tcMar>
              <w:top w:w="0" w:type="dxa"/>
              <w:left w:w="108" w:type="dxa"/>
              <w:bottom w:w="0" w:type="dxa"/>
              <w:right w:w="108" w:type="dxa"/>
            </w:tcMar>
            <w:hideMark/>
          </w:tcPr>
          <w:p w14:paraId="26F6B7B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75</w:t>
            </w:r>
          </w:p>
        </w:tc>
      </w:tr>
      <w:tr w:rsidR="006E5C07" w:rsidRPr="006E5C07" w14:paraId="4DE5AD87" w14:textId="77777777" w:rsidTr="006E5C07">
        <w:tc>
          <w:tcPr>
            <w:tcW w:w="3720" w:type="dxa"/>
            <w:tcMar>
              <w:top w:w="0" w:type="dxa"/>
              <w:left w:w="108" w:type="dxa"/>
              <w:bottom w:w="0" w:type="dxa"/>
              <w:right w:w="108" w:type="dxa"/>
            </w:tcMar>
            <w:hideMark/>
          </w:tcPr>
          <w:p w14:paraId="408940E8" w14:textId="77777777" w:rsidR="006E5C07" w:rsidRPr="006E5C07" w:rsidRDefault="006E5C07" w:rsidP="006E5C07">
            <w:pPr>
              <w:spacing w:after="0" w:line="240" w:lineRule="auto"/>
              <w:rPr>
                <w:rFonts w:ascii="Calibri" w:eastAsia="Times New Roman" w:hAnsi="Calibri" w:cs="Calibri"/>
              </w:rPr>
            </w:pPr>
          </w:p>
        </w:tc>
        <w:tc>
          <w:tcPr>
            <w:tcW w:w="1626" w:type="dxa"/>
            <w:tcBorders>
              <w:top w:val="nil"/>
              <w:left w:val="nil"/>
              <w:bottom w:val="single" w:sz="8" w:space="0" w:color="auto"/>
              <w:right w:val="nil"/>
            </w:tcBorders>
            <w:tcMar>
              <w:top w:w="0" w:type="dxa"/>
              <w:left w:w="108" w:type="dxa"/>
              <w:bottom w:w="0" w:type="dxa"/>
              <w:right w:w="108" w:type="dxa"/>
            </w:tcMar>
            <w:hideMark/>
          </w:tcPr>
          <w:p w14:paraId="6C8BE83C"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2,843</w:t>
            </w:r>
          </w:p>
        </w:tc>
        <w:tc>
          <w:tcPr>
            <w:tcW w:w="1627" w:type="dxa"/>
            <w:tcBorders>
              <w:top w:val="nil"/>
              <w:left w:val="nil"/>
              <w:bottom w:val="single" w:sz="8" w:space="0" w:color="auto"/>
              <w:right w:val="nil"/>
            </w:tcBorders>
            <w:tcMar>
              <w:top w:w="0" w:type="dxa"/>
              <w:left w:w="108" w:type="dxa"/>
              <w:bottom w:w="0" w:type="dxa"/>
              <w:right w:w="108" w:type="dxa"/>
            </w:tcMar>
            <w:hideMark/>
          </w:tcPr>
          <w:p w14:paraId="4E592B79"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3,396</w:t>
            </w:r>
          </w:p>
        </w:tc>
      </w:tr>
    </w:tbl>
    <w:p w14:paraId="7F3EF572" w14:textId="77777777" w:rsidR="006E5C07" w:rsidRPr="006E5C07" w:rsidRDefault="006E5C07" w:rsidP="006E5C07">
      <w:pPr>
        <w:spacing w:after="0" w:line="253" w:lineRule="atLeast"/>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2D5B1BB7"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Details of Directors' emoluments, including details of share option schemes, are given in the remuneration report. These disclosures form part of the audited financial statements of the Group.</w:t>
      </w:r>
    </w:p>
    <w:p w14:paraId="1B42F45B"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72A4F55D" w14:textId="77777777" w:rsidR="006E5C07" w:rsidRPr="006E5C07" w:rsidRDefault="006E5C07" w:rsidP="006E5C07">
      <w:pPr>
        <w:spacing w:after="200" w:line="253" w:lineRule="atLeast"/>
        <w:ind w:hanging="567"/>
        <w:jc w:val="both"/>
        <w:rPr>
          <w:rFonts w:ascii="Calibri" w:eastAsia="Times New Roman" w:hAnsi="Calibri" w:cs="Calibri"/>
          <w:color w:val="16202C"/>
        </w:rPr>
      </w:pPr>
      <w:r w:rsidRPr="006E5C07">
        <w:rPr>
          <w:rFonts w:ascii="Gill Sans MT" w:eastAsia="Times New Roman" w:hAnsi="Gill Sans MT" w:cs="Calibri"/>
          <w:b/>
          <w:bCs/>
          <w:color w:val="16202C"/>
          <w:sz w:val="18"/>
          <w:szCs w:val="18"/>
        </w:rPr>
        <w:t>8.         Non-recurring charges</w:t>
      </w:r>
    </w:p>
    <w:p w14:paraId="3D65D45E"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Following the annual impairment review of goodwill based on the discounted cash flow projections of the UK Retail division, the value of the goodwill in this CGU has been impaired by £1.10 million. Details of the impairment review are disclosed at note 12.</w:t>
      </w:r>
    </w:p>
    <w:p w14:paraId="0690DD10"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7E7D6A27"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The Group also incurred redundancy and severance costs of £0.34 million during the year as it restructured staffing and management due to the Covid-19 pandemic.</w:t>
      </w:r>
    </w:p>
    <w:p w14:paraId="2C5E54FA"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FF0000"/>
          <w:sz w:val="18"/>
          <w:szCs w:val="18"/>
        </w:rPr>
        <w:t> </w:t>
      </w:r>
    </w:p>
    <w:p w14:paraId="39EEC992"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Following a review of the carrying value of assets and liabilities in S&amp;P India Pvt Limited during the year, debtors with a previous book value of £0.50 million were deemed to be impaired and were written down in full. As the investment in this business was disposed of following the year end, this charge is included within discontinued operations.</w:t>
      </w:r>
    </w:p>
    <w:p w14:paraId="18B7BC36"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FF0000"/>
          <w:sz w:val="18"/>
          <w:szCs w:val="18"/>
        </w:rPr>
        <w:t> </w:t>
      </w:r>
    </w:p>
    <w:p w14:paraId="5BBC12BF"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The Directors consider all of these costs to be non-recurring.</w:t>
      </w:r>
    </w:p>
    <w:p w14:paraId="59280CE4"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7083690E" w14:textId="77777777" w:rsidR="006E5C07" w:rsidRPr="006E5C07" w:rsidRDefault="006E5C07" w:rsidP="006E5C07">
      <w:pPr>
        <w:spacing w:line="253" w:lineRule="atLeast"/>
        <w:ind w:hanging="567"/>
        <w:jc w:val="both"/>
        <w:rPr>
          <w:rFonts w:ascii="Calibri" w:eastAsia="Times New Roman" w:hAnsi="Calibri" w:cs="Calibri"/>
          <w:color w:val="16202C"/>
        </w:rPr>
      </w:pPr>
      <w:r w:rsidRPr="006E5C07">
        <w:rPr>
          <w:rFonts w:ascii="Gill Sans MT" w:eastAsia="Times New Roman" w:hAnsi="Gill Sans MT" w:cs="Calibri"/>
          <w:b/>
          <w:bCs/>
          <w:color w:val="16202C"/>
          <w:sz w:val="18"/>
          <w:szCs w:val="18"/>
        </w:rPr>
        <w:t>9.         Finance income and costs</w:t>
      </w:r>
    </w:p>
    <w:tbl>
      <w:tblPr>
        <w:tblW w:w="0" w:type="auto"/>
        <w:tblInd w:w="-108" w:type="dxa"/>
        <w:tblCellMar>
          <w:left w:w="0" w:type="dxa"/>
          <w:right w:w="0" w:type="dxa"/>
        </w:tblCellMar>
        <w:tblLook w:val="04A0" w:firstRow="1" w:lastRow="0" w:firstColumn="1" w:lastColumn="0" w:noHBand="0" w:noVBand="1"/>
      </w:tblPr>
      <w:tblGrid>
        <w:gridCol w:w="4570"/>
        <w:gridCol w:w="1627"/>
        <w:gridCol w:w="1768"/>
      </w:tblGrid>
      <w:tr w:rsidR="006E5C07" w:rsidRPr="006E5C07" w14:paraId="0D48F449" w14:textId="77777777" w:rsidTr="006E5C07">
        <w:tc>
          <w:tcPr>
            <w:tcW w:w="4570" w:type="dxa"/>
            <w:tcMar>
              <w:top w:w="0" w:type="dxa"/>
              <w:left w:w="108" w:type="dxa"/>
              <w:bottom w:w="0" w:type="dxa"/>
              <w:right w:w="108" w:type="dxa"/>
            </w:tcMar>
            <w:hideMark/>
          </w:tcPr>
          <w:p w14:paraId="7C62434E" w14:textId="77777777" w:rsidR="006E5C07" w:rsidRPr="006E5C07" w:rsidRDefault="006E5C07" w:rsidP="006E5C07">
            <w:pPr>
              <w:spacing w:after="0" w:line="240" w:lineRule="auto"/>
              <w:rPr>
                <w:rFonts w:ascii="Calibri" w:eastAsia="Times New Roman" w:hAnsi="Calibri" w:cs="Calibri"/>
              </w:rPr>
            </w:pPr>
          </w:p>
        </w:tc>
        <w:tc>
          <w:tcPr>
            <w:tcW w:w="1627" w:type="dxa"/>
            <w:tcMar>
              <w:top w:w="0" w:type="dxa"/>
              <w:left w:w="108" w:type="dxa"/>
              <w:bottom w:w="0" w:type="dxa"/>
              <w:right w:w="108" w:type="dxa"/>
            </w:tcMar>
            <w:hideMark/>
          </w:tcPr>
          <w:p w14:paraId="60BD060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c>
          <w:tcPr>
            <w:tcW w:w="1768" w:type="dxa"/>
            <w:tcMar>
              <w:top w:w="0" w:type="dxa"/>
              <w:left w:w="108" w:type="dxa"/>
              <w:bottom w:w="0" w:type="dxa"/>
              <w:right w:w="108" w:type="dxa"/>
            </w:tcMar>
            <w:hideMark/>
          </w:tcPr>
          <w:p w14:paraId="4E9D8D7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r>
      <w:tr w:rsidR="006E5C07" w:rsidRPr="006E5C07" w14:paraId="41E2248A" w14:textId="77777777" w:rsidTr="006E5C07">
        <w:tc>
          <w:tcPr>
            <w:tcW w:w="4570" w:type="dxa"/>
            <w:tcMar>
              <w:top w:w="0" w:type="dxa"/>
              <w:left w:w="108" w:type="dxa"/>
              <w:bottom w:w="0" w:type="dxa"/>
              <w:right w:w="108" w:type="dxa"/>
            </w:tcMar>
            <w:hideMark/>
          </w:tcPr>
          <w:p w14:paraId="42D05722" w14:textId="77777777" w:rsidR="006E5C07" w:rsidRPr="006E5C07" w:rsidRDefault="006E5C07" w:rsidP="006E5C07">
            <w:pPr>
              <w:spacing w:after="0" w:line="240" w:lineRule="auto"/>
              <w:rPr>
                <w:rFonts w:ascii="Calibri" w:eastAsia="Times New Roman" w:hAnsi="Calibri" w:cs="Calibri"/>
              </w:rPr>
            </w:pPr>
          </w:p>
        </w:tc>
        <w:tc>
          <w:tcPr>
            <w:tcW w:w="1627" w:type="dxa"/>
            <w:tcMar>
              <w:top w:w="0" w:type="dxa"/>
              <w:left w:w="108" w:type="dxa"/>
              <w:bottom w:w="0" w:type="dxa"/>
              <w:right w:w="108" w:type="dxa"/>
            </w:tcMar>
            <w:hideMark/>
          </w:tcPr>
          <w:p w14:paraId="4DAB792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December '20</w:t>
            </w:r>
          </w:p>
        </w:tc>
        <w:tc>
          <w:tcPr>
            <w:tcW w:w="1768" w:type="dxa"/>
            <w:tcMar>
              <w:top w:w="0" w:type="dxa"/>
              <w:left w:w="108" w:type="dxa"/>
              <w:bottom w:w="0" w:type="dxa"/>
              <w:right w:w="108" w:type="dxa"/>
            </w:tcMar>
            <w:hideMark/>
          </w:tcPr>
          <w:p w14:paraId="4654E50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December '19</w:t>
            </w:r>
          </w:p>
        </w:tc>
      </w:tr>
      <w:tr w:rsidR="006E5C07" w:rsidRPr="006E5C07" w14:paraId="2C1C38DE" w14:textId="77777777" w:rsidTr="006E5C07">
        <w:tc>
          <w:tcPr>
            <w:tcW w:w="4570" w:type="dxa"/>
            <w:tcMar>
              <w:top w:w="0" w:type="dxa"/>
              <w:left w:w="108" w:type="dxa"/>
              <w:bottom w:w="0" w:type="dxa"/>
              <w:right w:w="108" w:type="dxa"/>
            </w:tcMar>
            <w:hideMark/>
          </w:tcPr>
          <w:p w14:paraId="1BA09F6C" w14:textId="77777777" w:rsidR="006E5C07" w:rsidRPr="006E5C07" w:rsidRDefault="006E5C07" w:rsidP="006E5C07">
            <w:pPr>
              <w:spacing w:after="0" w:line="240" w:lineRule="auto"/>
              <w:rPr>
                <w:rFonts w:ascii="Calibri" w:eastAsia="Times New Roman" w:hAnsi="Calibri" w:cs="Calibri"/>
              </w:rPr>
            </w:pPr>
          </w:p>
        </w:tc>
        <w:tc>
          <w:tcPr>
            <w:tcW w:w="1627" w:type="dxa"/>
            <w:tcMar>
              <w:top w:w="0" w:type="dxa"/>
              <w:left w:w="108" w:type="dxa"/>
              <w:bottom w:w="0" w:type="dxa"/>
              <w:right w:w="108" w:type="dxa"/>
            </w:tcMar>
            <w:hideMark/>
          </w:tcPr>
          <w:p w14:paraId="7C10AB2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1768" w:type="dxa"/>
            <w:tcMar>
              <w:top w:w="0" w:type="dxa"/>
              <w:left w:w="108" w:type="dxa"/>
              <w:bottom w:w="0" w:type="dxa"/>
              <w:right w:w="108" w:type="dxa"/>
            </w:tcMar>
            <w:hideMark/>
          </w:tcPr>
          <w:p w14:paraId="2683DF5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0F30B9AB" w14:textId="77777777" w:rsidTr="006E5C07">
        <w:tc>
          <w:tcPr>
            <w:tcW w:w="4570" w:type="dxa"/>
            <w:tcMar>
              <w:top w:w="0" w:type="dxa"/>
              <w:left w:w="108" w:type="dxa"/>
              <w:bottom w:w="0" w:type="dxa"/>
              <w:right w:w="108" w:type="dxa"/>
            </w:tcMar>
            <w:hideMark/>
          </w:tcPr>
          <w:p w14:paraId="51BE66D4" w14:textId="77777777" w:rsidR="006E5C07" w:rsidRPr="006E5C07" w:rsidRDefault="006E5C07" w:rsidP="006E5C07">
            <w:pPr>
              <w:spacing w:after="0" w:line="240" w:lineRule="auto"/>
              <w:rPr>
                <w:rFonts w:ascii="Calibri" w:eastAsia="Times New Roman" w:hAnsi="Calibri" w:cs="Calibri"/>
              </w:rPr>
            </w:pPr>
          </w:p>
        </w:tc>
        <w:tc>
          <w:tcPr>
            <w:tcW w:w="1627" w:type="dxa"/>
            <w:tcMar>
              <w:top w:w="0" w:type="dxa"/>
              <w:left w:w="108" w:type="dxa"/>
              <w:bottom w:w="0" w:type="dxa"/>
              <w:right w:w="108" w:type="dxa"/>
            </w:tcMar>
            <w:hideMark/>
          </w:tcPr>
          <w:p w14:paraId="107BA61D" w14:textId="77777777" w:rsidR="006E5C07" w:rsidRPr="006E5C07" w:rsidRDefault="006E5C07" w:rsidP="006E5C07">
            <w:pPr>
              <w:spacing w:after="0" w:line="240" w:lineRule="auto"/>
              <w:jc w:val="right"/>
              <w:rPr>
                <w:rFonts w:ascii="Calibri" w:eastAsia="Times New Roman" w:hAnsi="Calibri" w:cs="Calibri"/>
              </w:rPr>
            </w:pPr>
          </w:p>
        </w:tc>
        <w:tc>
          <w:tcPr>
            <w:tcW w:w="1768" w:type="dxa"/>
            <w:tcMar>
              <w:top w:w="0" w:type="dxa"/>
              <w:left w:w="108" w:type="dxa"/>
              <w:bottom w:w="0" w:type="dxa"/>
              <w:right w:w="108" w:type="dxa"/>
            </w:tcMar>
            <w:hideMark/>
          </w:tcPr>
          <w:p w14:paraId="72A06ADE"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54209BEF" w14:textId="77777777" w:rsidTr="006E5C07">
        <w:trPr>
          <w:trHeight w:val="173"/>
        </w:trPr>
        <w:tc>
          <w:tcPr>
            <w:tcW w:w="4570" w:type="dxa"/>
            <w:tcMar>
              <w:top w:w="0" w:type="dxa"/>
              <w:left w:w="108" w:type="dxa"/>
              <w:bottom w:w="0" w:type="dxa"/>
              <w:right w:w="108" w:type="dxa"/>
            </w:tcMar>
            <w:hideMark/>
          </w:tcPr>
          <w:p w14:paraId="5B4F81B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Finance costs:</w:t>
            </w:r>
          </w:p>
        </w:tc>
        <w:tc>
          <w:tcPr>
            <w:tcW w:w="1627" w:type="dxa"/>
            <w:tcMar>
              <w:top w:w="0" w:type="dxa"/>
              <w:left w:w="108" w:type="dxa"/>
              <w:bottom w:w="0" w:type="dxa"/>
              <w:right w:w="108" w:type="dxa"/>
            </w:tcMar>
            <w:hideMark/>
          </w:tcPr>
          <w:p w14:paraId="142FB328" w14:textId="77777777" w:rsidR="006E5C07" w:rsidRPr="006E5C07" w:rsidRDefault="006E5C07" w:rsidP="006E5C07">
            <w:pPr>
              <w:spacing w:after="0" w:line="240" w:lineRule="auto"/>
              <w:rPr>
                <w:rFonts w:ascii="Calibri" w:eastAsia="Times New Roman" w:hAnsi="Calibri" w:cs="Calibri"/>
              </w:rPr>
            </w:pPr>
          </w:p>
        </w:tc>
        <w:tc>
          <w:tcPr>
            <w:tcW w:w="1768" w:type="dxa"/>
            <w:tcMar>
              <w:top w:w="0" w:type="dxa"/>
              <w:left w:w="108" w:type="dxa"/>
              <w:bottom w:w="0" w:type="dxa"/>
              <w:right w:w="108" w:type="dxa"/>
            </w:tcMar>
            <w:hideMark/>
          </w:tcPr>
          <w:p w14:paraId="04F8B411" w14:textId="77777777" w:rsidR="006E5C07" w:rsidRPr="006E5C07" w:rsidRDefault="006E5C07" w:rsidP="006E5C07">
            <w:pPr>
              <w:spacing w:after="0" w:line="240" w:lineRule="auto"/>
              <w:rPr>
                <w:rFonts w:ascii="Calibri" w:eastAsia="Times New Roman" w:hAnsi="Calibri" w:cs="Calibri"/>
              </w:rPr>
            </w:pPr>
          </w:p>
        </w:tc>
      </w:tr>
      <w:tr w:rsidR="006E5C07" w:rsidRPr="006E5C07" w14:paraId="367B8B09" w14:textId="77777777" w:rsidTr="006E5C07">
        <w:tc>
          <w:tcPr>
            <w:tcW w:w="4570" w:type="dxa"/>
            <w:tcMar>
              <w:top w:w="0" w:type="dxa"/>
              <w:left w:w="108" w:type="dxa"/>
              <w:bottom w:w="0" w:type="dxa"/>
              <w:right w:w="108" w:type="dxa"/>
            </w:tcMar>
            <w:hideMark/>
          </w:tcPr>
          <w:p w14:paraId="020AFCA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Interest payable</w:t>
            </w:r>
          </w:p>
        </w:tc>
        <w:tc>
          <w:tcPr>
            <w:tcW w:w="1627" w:type="dxa"/>
            <w:tcMar>
              <w:top w:w="0" w:type="dxa"/>
              <w:left w:w="108" w:type="dxa"/>
              <w:bottom w:w="0" w:type="dxa"/>
              <w:right w:w="108" w:type="dxa"/>
            </w:tcMar>
            <w:hideMark/>
          </w:tcPr>
          <w:p w14:paraId="7A8BBB41"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(27)</w:t>
            </w:r>
          </w:p>
        </w:tc>
        <w:tc>
          <w:tcPr>
            <w:tcW w:w="1768" w:type="dxa"/>
            <w:tcMar>
              <w:top w:w="0" w:type="dxa"/>
              <w:left w:w="108" w:type="dxa"/>
              <w:bottom w:w="0" w:type="dxa"/>
              <w:right w:w="108" w:type="dxa"/>
            </w:tcMar>
            <w:hideMark/>
          </w:tcPr>
          <w:p w14:paraId="5D9BA0FA"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(23)</w:t>
            </w:r>
          </w:p>
        </w:tc>
      </w:tr>
    </w:tbl>
    <w:p w14:paraId="3C91A78B" w14:textId="77777777" w:rsidR="006E5C07" w:rsidRPr="006E5C07" w:rsidRDefault="006E5C07" w:rsidP="006E5C07">
      <w:pPr>
        <w:spacing w:after="0" w:line="240" w:lineRule="auto"/>
        <w:rPr>
          <w:rFonts w:ascii="Calibri" w:eastAsia="Times New Roman" w:hAnsi="Calibri" w:cs="Calibri"/>
          <w:color w:val="16202C"/>
        </w:rPr>
      </w:pPr>
      <w:r w:rsidRPr="006E5C07">
        <w:rPr>
          <w:rFonts w:ascii="Calibri" w:eastAsia="Times New Roman" w:hAnsi="Calibri" w:cs="Calibri"/>
          <w:color w:val="16202C"/>
        </w:rPr>
        <w:t> </w:t>
      </w:r>
    </w:p>
    <w:p w14:paraId="3AD56014" w14:textId="77777777" w:rsidR="006E5C07" w:rsidRPr="006E5C07" w:rsidRDefault="006E5C07" w:rsidP="006E5C07">
      <w:pPr>
        <w:spacing w:line="253" w:lineRule="atLeast"/>
        <w:ind w:hanging="567"/>
        <w:rPr>
          <w:rFonts w:ascii="Calibri" w:eastAsia="Times New Roman" w:hAnsi="Calibri" w:cs="Calibri"/>
          <w:color w:val="16202C"/>
        </w:rPr>
      </w:pPr>
      <w:r w:rsidRPr="006E5C07">
        <w:rPr>
          <w:rFonts w:ascii="Gill Sans MT" w:eastAsia="Times New Roman" w:hAnsi="Gill Sans MT" w:cs="Calibri"/>
          <w:b/>
          <w:bCs/>
          <w:color w:val="16202C"/>
          <w:sz w:val="18"/>
          <w:szCs w:val="18"/>
        </w:rPr>
        <w:t>10.       Taxation</w:t>
      </w:r>
    </w:p>
    <w:tbl>
      <w:tblPr>
        <w:tblW w:w="0" w:type="auto"/>
        <w:tblInd w:w="-108" w:type="dxa"/>
        <w:tblCellMar>
          <w:left w:w="0" w:type="dxa"/>
          <w:right w:w="0" w:type="dxa"/>
        </w:tblCellMar>
        <w:tblLook w:val="04A0" w:firstRow="1" w:lastRow="0" w:firstColumn="1" w:lastColumn="0" w:noHBand="0" w:noVBand="1"/>
      </w:tblPr>
      <w:tblGrid>
        <w:gridCol w:w="4854"/>
        <w:gridCol w:w="1485"/>
        <w:gridCol w:w="1626"/>
      </w:tblGrid>
      <w:tr w:rsidR="006E5C07" w:rsidRPr="006E5C07" w14:paraId="39BF8F1E" w14:textId="77777777" w:rsidTr="006E5C07">
        <w:tc>
          <w:tcPr>
            <w:tcW w:w="4854" w:type="dxa"/>
            <w:tcMar>
              <w:top w:w="0" w:type="dxa"/>
              <w:left w:w="108" w:type="dxa"/>
              <w:bottom w:w="0" w:type="dxa"/>
              <w:right w:w="108" w:type="dxa"/>
            </w:tcMar>
            <w:hideMark/>
          </w:tcPr>
          <w:p w14:paraId="26D3BE47" w14:textId="77777777" w:rsidR="006E5C07" w:rsidRPr="006E5C07" w:rsidRDefault="006E5C07" w:rsidP="006E5C07">
            <w:pPr>
              <w:spacing w:after="0" w:line="240" w:lineRule="auto"/>
              <w:rPr>
                <w:rFonts w:ascii="Calibri" w:eastAsia="Times New Roman" w:hAnsi="Calibri" w:cs="Calibri"/>
              </w:rPr>
            </w:pPr>
          </w:p>
        </w:tc>
        <w:tc>
          <w:tcPr>
            <w:tcW w:w="1485" w:type="dxa"/>
            <w:tcMar>
              <w:top w:w="0" w:type="dxa"/>
              <w:left w:w="108" w:type="dxa"/>
              <w:bottom w:w="0" w:type="dxa"/>
              <w:right w:w="108" w:type="dxa"/>
            </w:tcMar>
            <w:hideMark/>
          </w:tcPr>
          <w:p w14:paraId="2437698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c>
          <w:tcPr>
            <w:tcW w:w="1626" w:type="dxa"/>
            <w:tcMar>
              <w:top w:w="0" w:type="dxa"/>
              <w:left w:w="108" w:type="dxa"/>
              <w:bottom w:w="0" w:type="dxa"/>
              <w:right w:w="108" w:type="dxa"/>
            </w:tcMar>
            <w:hideMark/>
          </w:tcPr>
          <w:p w14:paraId="7CD95C8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r>
      <w:tr w:rsidR="006E5C07" w:rsidRPr="006E5C07" w14:paraId="34719DB2" w14:textId="77777777" w:rsidTr="006E5C07">
        <w:tc>
          <w:tcPr>
            <w:tcW w:w="4854" w:type="dxa"/>
            <w:tcMar>
              <w:top w:w="0" w:type="dxa"/>
              <w:left w:w="108" w:type="dxa"/>
              <w:bottom w:w="0" w:type="dxa"/>
              <w:right w:w="108" w:type="dxa"/>
            </w:tcMar>
            <w:hideMark/>
          </w:tcPr>
          <w:p w14:paraId="04E25748" w14:textId="77777777" w:rsidR="006E5C07" w:rsidRPr="006E5C07" w:rsidRDefault="006E5C07" w:rsidP="006E5C07">
            <w:pPr>
              <w:spacing w:after="0" w:line="240" w:lineRule="auto"/>
              <w:rPr>
                <w:rFonts w:ascii="Calibri" w:eastAsia="Times New Roman" w:hAnsi="Calibri" w:cs="Calibri"/>
              </w:rPr>
            </w:pPr>
          </w:p>
        </w:tc>
        <w:tc>
          <w:tcPr>
            <w:tcW w:w="1485" w:type="dxa"/>
            <w:tcMar>
              <w:top w:w="0" w:type="dxa"/>
              <w:left w:w="108" w:type="dxa"/>
              <w:bottom w:w="0" w:type="dxa"/>
              <w:right w:w="108" w:type="dxa"/>
            </w:tcMar>
            <w:hideMark/>
          </w:tcPr>
          <w:p w14:paraId="7A3B0F6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December '20</w:t>
            </w:r>
          </w:p>
        </w:tc>
        <w:tc>
          <w:tcPr>
            <w:tcW w:w="1626" w:type="dxa"/>
            <w:tcMar>
              <w:top w:w="0" w:type="dxa"/>
              <w:left w:w="108" w:type="dxa"/>
              <w:bottom w:w="0" w:type="dxa"/>
              <w:right w:w="108" w:type="dxa"/>
            </w:tcMar>
            <w:hideMark/>
          </w:tcPr>
          <w:p w14:paraId="46CB406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December '19</w:t>
            </w:r>
          </w:p>
          <w:p w14:paraId="7E739D9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tc>
      </w:tr>
      <w:tr w:rsidR="006E5C07" w:rsidRPr="006E5C07" w14:paraId="1ED9FE78" w14:textId="77777777" w:rsidTr="006E5C07">
        <w:tc>
          <w:tcPr>
            <w:tcW w:w="4854" w:type="dxa"/>
            <w:tcMar>
              <w:top w:w="0" w:type="dxa"/>
              <w:left w:w="108" w:type="dxa"/>
              <w:bottom w:w="0" w:type="dxa"/>
              <w:right w:w="108" w:type="dxa"/>
            </w:tcMar>
            <w:hideMark/>
          </w:tcPr>
          <w:p w14:paraId="05BB889D" w14:textId="77777777" w:rsidR="006E5C07" w:rsidRPr="006E5C07" w:rsidRDefault="006E5C07" w:rsidP="006E5C07">
            <w:pPr>
              <w:spacing w:after="0" w:line="240" w:lineRule="auto"/>
              <w:rPr>
                <w:rFonts w:ascii="Calibri" w:eastAsia="Times New Roman" w:hAnsi="Calibri" w:cs="Calibri"/>
              </w:rPr>
            </w:pPr>
          </w:p>
        </w:tc>
        <w:tc>
          <w:tcPr>
            <w:tcW w:w="1485" w:type="dxa"/>
            <w:tcMar>
              <w:top w:w="0" w:type="dxa"/>
              <w:left w:w="108" w:type="dxa"/>
              <w:bottom w:w="0" w:type="dxa"/>
              <w:right w:w="108" w:type="dxa"/>
            </w:tcMar>
            <w:hideMark/>
          </w:tcPr>
          <w:p w14:paraId="0674A57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1626" w:type="dxa"/>
            <w:tcMar>
              <w:top w:w="0" w:type="dxa"/>
              <w:left w:w="108" w:type="dxa"/>
              <w:bottom w:w="0" w:type="dxa"/>
              <w:right w:w="108" w:type="dxa"/>
            </w:tcMar>
            <w:hideMark/>
          </w:tcPr>
          <w:p w14:paraId="43FB683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23799D10" w14:textId="77777777" w:rsidTr="006E5C07">
        <w:tc>
          <w:tcPr>
            <w:tcW w:w="4854" w:type="dxa"/>
            <w:tcMar>
              <w:top w:w="0" w:type="dxa"/>
              <w:left w:w="108" w:type="dxa"/>
              <w:bottom w:w="0" w:type="dxa"/>
              <w:right w:w="108" w:type="dxa"/>
            </w:tcMar>
            <w:hideMark/>
          </w:tcPr>
          <w:p w14:paraId="2C03F811" w14:textId="77777777" w:rsidR="006E5C07" w:rsidRPr="006E5C07" w:rsidRDefault="006E5C07" w:rsidP="006E5C07">
            <w:pPr>
              <w:spacing w:after="0" w:line="240" w:lineRule="auto"/>
              <w:rPr>
                <w:rFonts w:ascii="Calibri" w:eastAsia="Times New Roman" w:hAnsi="Calibri" w:cs="Calibri"/>
              </w:rPr>
            </w:pPr>
          </w:p>
        </w:tc>
        <w:tc>
          <w:tcPr>
            <w:tcW w:w="1485" w:type="dxa"/>
            <w:tcMar>
              <w:top w:w="0" w:type="dxa"/>
              <w:left w:w="108" w:type="dxa"/>
              <w:bottom w:w="0" w:type="dxa"/>
              <w:right w:w="108" w:type="dxa"/>
            </w:tcMar>
            <w:hideMark/>
          </w:tcPr>
          <w:p w14:paraId="2F50800A" w14:textId="77777777" w:rsidR="006E5C07" w:rsidRPr="006E5C07" w:rsidRDefault="006E5C07" w:rsidP="006E5C07">
            <w:pPr>
              <w:spacing w:after="0" w:line="240" w:lineRule="auto"/>
              <w:jc w:val="right"/>
              <w:rPr>
                <w:rFonts w:ascii="Calibri" w:eastAsia="Times New Roman" w:hAnsi="Calibri" w:cs="Calibri"/>
              </w:rPr>
            </w:pPr>
          </w:p>
        </w:tc>
        <w:tc>
          <w:tcPr>
            <w:tcW w:w="1626" w:type="dxa"/>
            <w:tcMar>
              <w:top w:w="0" w:type="dxa"/>
              <w:left w:w="108" w:type="dxa"/>
              <w:bottom w:w="0" w:type="dxa"/>
              <w:right w:w="108" w:type="dxa"/>
            </w:tcMar>
            <w:hideMark/>
          </w:tcPr>
          <w:p w14:paraId="3E4CCDA2"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5456DAE1" w14:textId="77777777" w:rsidTr="006E5C07">
        <w:tc>
          <w:tcPr>
            <w:tcW w:w="4854" w:type="dxa"/>
            <w:tcMar>
              <w:top w:w="0" w:type="dxa"/>
              <w:left w:w="108" w:type="dxa"/>
              <w:bottom w:w="0" w:type="dxa"/>
              <w:right w:w="108" w:type="dxa"/>
            </w:tcMar>
            <w:hideMark/>
          </w:tcPr>
          <w:p w14:paraId="0B8B4728"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Current tax expense:</w:t>
            </w:r>
          </w:p>
        </w:tc>
        <w:tc>
          <w:tcPr>
            <w:tcW w:w="1485" w:type="dxa"/>
            <w:tcMar>
              <w:top w:w="0" w:type="dxa"/>
              <w:left w:w="108" w:type="dxa"/>
              <w:bottom w:w="0" w:type="dxa"/>
              <w:right w:w="108" w:type="dxa"/>
            </w:tcMar>
            <w:hideMark/>
          </w:tcPr>
          <w:p w14:paraId="793582EC" w14:textId="77777777" w:rsidR="006E5C07" w:rsidRPr="006E5C07" w:rsidRDefault="006E5C07" w:rsidP="006E5C07">
            <w:pPr>
              <w:spacing w:after="0" w:line="240" w:lineRule="auto"/>
              <w:jc w:val="right"/>
              <w:rPr>
                <w:rFonts w:ascii="Calibri" w:eastAsia="Times New Roman" w:hAnsi="Calibri" w:cs="Calibri"/>
              </w:rPr>
            </w:pPr>
          </w:p>
        </w:tc>
        <w:tc>
          <w:tcPr>
            <w:tcW w:w="1626" w:type="dxa"/>
            <w:tcMar>
              <w:top w:w="0" w:type="dxa"/>
              <w:left w:w="108" w:type="dxa"/>
              <w:bottom w:w="0" w:type="dxa"/>
              <w:right w:w="108" w:type="dxa"/>
            </w:tcMar>
            <w:hideMark/>
          </w:tcPr>
          <w:p w14:paraId="14EC9D2F"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03B00104" w14:textId="77777777" w:rsidTr="006E5C07">
        <w:tc>
          <w:tcPr>
            <w:tcW w:w="4854" w:type="dxa"/>
            <w:tcMar>
              <w:top w:w="0" w:type="dxa"/>
              <w:left w:w="108" w:type="dxa"/>
              <w:bottom w:w="0" w:type="dxa"/>
              <w:right w:w="108" w:type="dxa"/>
            </w:tcMar>
            <w:hideMark/>
          </w:tcPr>
          <w:p w14:paraId="2317DC88"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Current tax on (losses) /  profits for the year</w:t>
            </w:r>
          </w:p>
        </w:tc>
        <w:tc>
          <w:tcPr>
            <w:tcW w:w="1485" w:type="dxa"/>
            <w:tcMar>
              <w:top w:w="0" w:type="dxa"/>
              <w:left w:w="108" w:type="dxa"/>
              <w:bottom w:w="0" w:type="dxa"/>
              <w:right w:w="108" w:type="dxa"/>
            </w:tcMar>
            <w:hideMark/>
          </w:tcPr>
          <w:p w14:paraId="65740B5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626" w:type="dxa"/>
            <w:tcMar>
              <w:top w:w="0" w:type="dxa"/>
              <w:left w:w="108" w:type="dxa"/>
              <w:bottom w:w="0" w:type="dxa"/>
              <w:right w:w="108" w:type="dxa"/>
            </w:tcMar>
            <w:hideMark/>
          </w:tcPr>
          <w:p w14:paraId="2FE51DA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130</w:t>
            </w:r>
          </w:p>
        </w:tc>
      </w:tr>
      <w:tr w:rsidR="006E5C07" w:rsidRPr="006E5C07" w14:paraId="31A1D417" w14:textId="77777777" w:rsidTr="006E5C07">
        <w:tc>
          <w:tcPr>
            <w:tcW w:w="4854" w:type="dxa"/>
            <w:tcMar>
              <w:top w:w="0" w:type="dxa"/>
              <w:left w:w="108" w:type="dxa"/>
              <w:bottom w:w="0" w:type="dxa"/>
              <w:right w:w="108" w:type="dxa"/>
            </w:tcMar>
            <w:hideMark/>
          </w:tcPr>
          <w:p w14:paraId="1223AC68"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Adjustment for under/(over) provision in prior periods</w:t>
            </w:r>
          </w:p>
        </w:tc>
        <w:tc>
          <w:tcPr>
            <w:tcW w:w="1485" w:type="dxa"/>
            <w:tcBorders>
              <w:top w:val="nil"/>
              <w:left w:val="nil"/>
              <w:bottom w:val="single" w:sz="8" w:space="0" w:color="auto"/>
              <w:right w:val="nil"/>
            </w:tcBorders>
            <w:tcMar>
              <w:top w:w="0" w:type="dxa"/>
              <w:left w:w="108" w:type="dxa"/>
              <w:bottom w:w="0" w:type="dxa"/>
              <w:right w:w="108" w:type="dxa"/>
            </w:tcMar>
            <w:hideMark/>
          </w:tcPr>
          <w:p w14:paraId="7D99BCD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(315)</w:t>
            </w:r>
          </w:p>
        </w:tc>
        <w:tc>
          <w:tcPr>
            <w:tcW w:w="1626" w:type="dxa"/>
            <w:tcBorders>
              <w:top w:val="nil"/>
              <w:left w:val="nil"/>
              <w:bottom w:val="single" w:sz="8" w:space="0" w:color="auto"/>
              <w:right w:val="nil"/>
            </w:tcBorders>
            <w:tcMar>
              <w:top w:w="0" w:type="dxa"/>
              <w:left w:w="108" w:type="dxa"/>
              <w:bottom w:w="0" w:type="dxa"/>
              <w:right w:w="108" w:type="dxa"/>
            </w:tcMar>
            <w:hideMark/>
          </w:tcPr>
          <w:p w14:paraId="0DEF552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w:t>
            </w:r>
          </w:p>
        </w:tc>
      </w:tr>
      <w:tr w:rsidR="006E5C07" w:rsidRPr="006E5C07" w14:paraId="085D9840" w14:textId="77777777" w:rsidTr="006E5C07">
        <w:tc>
          <w:tcPr>
            <w:tcW w:w="4854" w:type="dxa"/>
            <w:tcMar>
              <w:top w:w="0" w:type="dxa"/>
              <w:left w:w="108" w:type="dxa"/>
              <w:bottom w:w="0" w:type="dxa"/>
              <w:right w:w="108" w:type="dxa"/>
            </w:tcMar>
            <w:hideMark/>
          </w:tcPr>
          <w:p w14:paraId="28524EEC"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Total current tax</w:t>
            </w:r>
          </w:p>
          <w:p w14:paraId="78AA8208"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tc>
        <w:tc>
          <w:tcPr>
            <w:tcW w:w="1485" w:type="dxa"/>
            <w:tcBorders>
              <w:top w:val="nil"/>
              <w:left w:val="nil"/>
              <w:bottom w:val="nil"/>
              <w:right w:val="nil"/>
            </w:tcBorders>
            <w:tcMar>
              <w:top w:w="0" w:type="dxa"/>
              <w:left w:w="108" w:type="dxa"/>
              <w:bottom w:w="0" w:type="dxa"/>
              <w:right w:w="108" w:type="dxa"/>
            </w:tcMar>
            <w:hideMark/>
          </w:tcPr>
          <w:p w14:paraId="404B65F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(315)</w:t>
            </w:r>
          </w:p>
        </w:tc>
        <w:tc>
          <w:tcPr>
            <w:tcW w:w="1626" w:type="dxa"/>
            <w:tcBorders>
              <w:top w:val="nil"/>
              <w:left w:val="nil"/>
              <w:bottom w:val="nil"/>
              <w:right w:val="nil"/>
            </w:tcBorders>
            <w:tcMar>
              <w:top w:w="0" w:type="dxa"/>
              <w:left w:w="108" w:type="dxa"/>
              <w:bottom w:w="0" w:type="dxa"/>
              <w:right w:w="108" w:type="dxa"/>
            </w:tcMar>
            <w:hideMark/>
          </w:tcPr>
          <w:p w14:paraId="2794892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126</w:t>
            </w:r>
          </w:p>
        </w:tc>
      </w:tr>
      <w:tr w:rsidR="006E5C07" w:rsidRPr="006E5C07" w14:paraId="0EB0214F" w14:textId="77777777" w:rsidTr="006E5C07">
        <w:tc>
          <w:tcPr>
            <w:tcW w:w="4854" w:type="dxa"/>
            <w:tcMar>
              <w:top w:w="0" w:type="dxa"/>
              <w:left w:w="108" w:type="dxa"/>
              <w:bottom w:w="0" w:type="dxa"/>
              <w:right w:w="108" w:type="dxa"/>
            </w:tcMar>
            <w:hideMark/>
          </w:tcPr>
          <w:p w14:paraId="09A679E3"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Foreign tax:</w:t>
            </w:r>
          </w:p>
        </w:tc>
        <w:tc>
          <w:tcPr>
            <w:tcW w:w="1485" w:type="dxa"/>
            <w:tcMar>
              <w:top w:w="0" w:type="dxa"/>
              <w:left w:w="108" w:type="dxa"/>
              <w:bottom w:w="0" w:type="dxa"/>
              <w:right w:w="108" w:type="dxa"/>
            </w:tcMar>
            <w:hideMark/>
          </w:tcPr>
          <w:p w14:paraId="529EBA80" w14:textId="77777777" w:rsidR="006E5C07" w:rsidRPr="006E5C07" w:rsidRDefault="006E5C07" w:rsidP="006E5C07">
            <w:pPr>
              <w:spacing w:after="0" w:line="240" w:lineRule="auto"/>
              <w:rPr>
                <w:rFonts w:ascii="Calibri" w:eastAsia="Times New Roman" w:hAnsi="Calibri" w:cs="Calibri"/>
                <w:b/>
                <w:bCs/>
              </w:rPr>
            </w:pPr>
          </w:p>
        </w:tc>
        <w:tc>
          <w:tcPr>
            <w:tcW w:w="1626" w:type="dxa"/>
            <w:tcMar>
              <w:top w:w="0" w:type="dxa"/>
              <w:left w:w="108" w:type="dxa"/>
              <w:bottom w:w="0" w:type="dxa"/>
              <w:right w:w="108" w:type="dxa"/>
            </w:tcMar>
            <w:hideMark/>
          </w:tcPr>
          <w:p w14:paraId="2E65B3D1" w14:textId="77777777" w:rsidR="006E5C07" w:rsidRPr="006E5C07" w:rsidRDefault="006E5C07" w:rsidP="006E5C07">
            <w:pPr>
              <w:spacing w:after="0" w:line="240" w:lineRule="auto"/>
              <w:rPr>
                <w:rFonts w:ascii="Calibri" w:eastAsia="Times New Roman" w:hAnsi="Calibri" w:cs="Calibri"/>
                <w:b/>
                <w:bCs/>
              </w:rPr>
            </w:pPr>
          </w:p>
        </w:tc>
      </w:tr>
      <w:tr w:rsidR="006E5C07" w:rsidRPr="006E5C07" w14:paraId="14B697BE" w14:textId="77777777" w:rsidTr="006E5C07">
        <w:tc>
          <w:tcPr>
            <w:tcW w:w="4854" w:type="dxa"/>
            <w:tcMar>
              <w:top w:w="0" w:type="dxa"/>
              <w:left w:w="108" w:type="dxa"/>
              <w:bottom w:w="0" w:type="dxa"/>
              <w:right w:w="108" w:type="dxa"/>
            </w:tcMar>
            <w:hideMark/>
          </w:tcPr>
          <w:p w14:paraId="15FA9903"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Current tax on foreign income for the period</w:t>
            </w:r>
          </w:p>
        </w:tc>
        <w:tc>
          <w:tcPr>
            <w:tcW w:w="1485" w:type="dxa"/>
            <w:tcMar>
              <w:top w:w="0" w:type="dxa"/>
              <w:left w:w="108" w:type="dxa"/>
              <w:bottom w:w="0" w:type="dxa"/>
              <w:right w:w="108" w:type="dxa"/>
            </w:tcMar>
            <w:hideMark/>
          </w:tcPr>
          <w:p w14:paraId="49CCBC3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626" w:type="dxa"/>
            <w:tcMar>
              <w:top w:w="0" w:type="dxa"/>
              <w:left w:w="108" w:type="dxa"/>
              <w:bottom w:w="0" w:type="dxa"/>
              <w:right w:w="108" w:type="dxa"/>
            </w:tcMar>
            <w:hideMark/>
          </w:tcPr>
          <w:p w14:paraId="4E5E5A2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46</w:t>
            </w:r>
          </w:p>
        </w:tc>
      </w:tr>
      <w:tr w:rsidR="006E5C07" w:rsidRPr="006E5C07" w14:paraId="0B46EACD" w14:textId="77777777" w:rsidTr="006E5C07">
        <w:tc>
          <w:tcPr>
            <w:tcW w:w="4854" w:type="dxa"/>
            <w:tcMar>
              <w:top w:w="0" w:type="dxa"/>
              <w:left w:w="108" w:type="dxa"/>
              <w:bottom w:w="0" w:type="dxa"/>
              <w:right w:w="108" w:type="dxa"/>
            </w:tcMar>
            <w:hideMark/>
          </w:tcPr>
          <w:p w14:paraId="3BE7FF42"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Adjustment for under/(over) provision in prior periods</w:t>
            </w:r>
          </w:p>
        </w:tc>
        <w:tc>
          <w:tcPr>
            <w:tcW w:w="1485" w:type="dxa"/>
            <w:tcBorders>
              <w:top w:val="nil"/>
              <w:left w:val="nil"/>
              <w:bottom w:val="single" w:sz="8" w:space="0" w:color="auto"/>
              <w:right w:val="nil"/>
            </w:tcBorders>
            <w:tcMar>
              <w:top w:w="0" w:type="dxa"/>
              <w:left w:w="108" w:type="dxa"/>
              <w:bottom w:w="0" w:type="dxa"/>
              <w:right w:w="108" w:type="dxa"/>
            </w:tcMar>
            <w:hideMark/>
          </w:tcPr>
          <w:p w14:paraId="4E38596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626" w:type="dxa"/>
            <w:tcBorders>
              <w:top w:val="nil"/>
              <w:left w:val="nil"/>
              <w:bottom w:val="single" w:sz="8" w:space="0" w:color="auto"/>
              <w:right w:val="nil"/>
            </w:tcBorders>
            <w:tcMar>
              <w:top w:w="0" w:type="dxa"/>
              <w:left w:w="108" w:type="dxa"/>
              <w:bottom w:w="0" w:type="dxa"/>
              <w:right w:w="108" w:type="dxa"/>
            </w:tcMar>
            <w:hideMark/>
          </w:tcPr>
          <w:p w14:paraId="62CA706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(47)</w:t>
            </w:r>
          </w:p>
        </w:tc>
      </w:tr>
      <w:tr w:rsidR="006E5C07" w:rsidRPr="006E5C07" w14:paraId="5D8CFD5D" w14:textId="77777777" w:rsidTr="006E5C07">
        <w:tc>
          <w:tcPr>
            <w:tcW w:w="4854" w:type="dxa"/>
            <w:tcMar>
              <w:top w:w="0" w:type="dxa"/>
              <w:left w:w="108" w:type="dxa"/>
              <w:bottom w:w="0" w:type="dxa"/>
              <w:right w:w="108" w:type="dxa"/>
            </w:tcMar>
            <w:hideMark/>
          </w:tcPr>
          <w:p w14:paraId="3AAA639C"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Total foreign tax</w:t>
            </w:r>
          </w:p>
        </w:tc>
        <w:tc>
          <w:tcPr>
            <w:tcW w:w="1485" w:type="dxa"/>
            <w:tcBorders>
              <w:top w:val="nil"/>
              <w:left w:val="nil"/>
              <w:bottom w:val="nil"/>
              <w:right w:val="nil"/>
            </w:tcBorders>
            <w:tcMar>
              <w:top w:w="0" w:type="dxa"/>
              <w:left w:w="108" w:type="dxa"/>
              <w:bottom w:w="0" w:type="dxa"/>
              <w:right w:w="108" w:type="dxa"/>
            </w:tcMar>
            <w:hideMark/>
          </w:tcPr>
          <w:p w14:paraId="35BC26C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626" w:type="dxa"/>
            <w:tcBorders>
              <w:top w:val="nil"/>
              <w:left w:val="nil"/>
              <w:bottom w:val="nil"/>
              <w:right w:val="nil"/>
            </w:tcBorders>
            <w:tcMar>
              <w:top w:w="0" w:type="dxa"/>
              <w:left w:w="108" w:type="dxa"/>
              <w:bottom w:w="0" w:type="dxa"/>
              <w:right w:w="108" w:type="dxa"/>
            </w:tcMar>
            <w:hideMark/>
          </w:tcPr>
          <w:p w14:paraId="0E2932C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w:t>
            </w:r>
          </w:p>
        </w:tc>
      </w:tr>
      <w:tr w:rsidR="006E5C07" w:rsidRPr="006E5C07" w14:paraId="2FE5F7F4" w14:textId="77777777" w:rsidTr="006E5C07">
        <w:tc>
          <w:tcPr>
            <w:tcW w:w="4854" w:type="dxa"/>
            <w:tcMar>
              <w:top w:w="0" w:type="dxa"/>
              <w:left w:w="108" w:type="dxa"/>
              <w:bottom w:w="0" w:type="dxa"/>
              <w:right w:w="108" w:type="dxa"/>
            </w:tcMar>
            <w:hideMark/>
          </w:tcPr>
          <w:p w14:paraId="04E0BE2B" w14:textId="77777777" w:rsidR="006E5C07" w:rsidRPr="006E5C07" w:rsidRDefault="006E5C07" w:rsidP="006E5C07">
            <w:pPr>
              <w:spacing w:after="0" w:line="240" w:lineRule="auto"/>
              <w:rPr>
                <w:rFonts w:ascii="Calibri" w:eastAsia="Times New Roman" w:hAnsi="Calibri" w:cs="Calibri"/>
              </w:rPr>
            </w:pPr>
          </w:p>
        </w:tc>
        <w:tc>
          <w:tcPr>
            <w:tcW w:w="1485" w:type="dxa"/>
            <w:tcMar>
              <w:top w:w="0" w:type="dxa"/>
              <w:left w:w="108" w:type="dxa"/>
              <w:bottom w:w="0" w:type="dxa"/>
              <w:right w:w="108" w:type="dxa"/>
            </w:tcMar>
            <w:hideMark/>
          </w:tcPr>
          <w:p w14:paraId="3CEC21E2" w14:textId="77777777" w:rsidR="006E5C07" w:rsidRPr="006E5C07" w:rsidRDefault="006E5C07" w:rsidP="006E5C07">
            <w:pPr>
              <w:spacing w:after="0" w:line="240" w:lineRule="auto"/>
              <w:jc w:val="right"/>
              <w:rPr>
                <w:rFonts w:ascii="Calibri" w:eastAsia="Times New Roman" w:hAnsi="Calibri" w:cs="Calibri"/>
                <w:b/>
                <w:bCs/>
              </w:rPr>
            </w:pPr>
          </w:p>
        </w:tc>
        <w:tc>
          <w:tcPr>
            <w:tcW w:w="1626" w:type="dxa"/>
            <w:tcMar>
              <w:top w:w="0" w:type="dxa"/>
              <w:left w:w="108" w:type="dxa"/>
              <w:bottom w:w="0" w:type="dxa"/>
              <w:right w:w="108" w:type="dxa"/>
            </w:tcMar>
            <w:hideMark/>
          </w:tcPr>
          <w:p w14:paraId="49DC9FA9"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2EEC3AC4" w14:textId="77777777" w:rsidTr="006E5C07">
        <w:tc>
          <w:tcPr>
            <w:tcW w:w="4854" w:type="dxa"/>
            <w:tcMar>
              <w:top w:w="0" w:type="dxa"/>
              <w:left w:w="108" w:type="dxa"/>
              <w:bottom w:w="0" w:type="dxa"/>
              <w:right w:w="108" w:type="dxa"/>
            </w:tcMar>
            <w:hideMark/>
          </w:tcPr>
          <w:p w14:paraId="24661226"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Deferred tax:</w:t>
            </w:r>
          </w:p>
        </w:tc>
        <w:tc>
          <w:tcPr>
            <w:tcW w:w="1485" w:type="dxa"/>
            <w:tcMar>
              <w:top w:w="0" w:type="dxa"/>
              <w:left w:w="108" w:type="dxa"/>
              <w:bottom w:w="0" w:type="dxa"/>
              <w:right w:w="108" w:type="dxa"/>
            </w:tcMar>
            <w:hideMark/>
          </w:tcPr>
          <w:p w14:paraId="7AD312B8" w14:textId="77777777" w:rsidR="006E5C07" w:rsidRPr="006E5C07" w:rsidRDefault="006E5C07" w:rsidP="006E5C07">
            <w:pPr>
              <w:spacing w:after="0" w:line="240" w:lineRule="auto"/>
              <w:jc w:val="right"/>
              <w:rPr>
                <w:rFonts w:ascii="Calibri" w:eastAsia="Times New Roman" w:hAnsi="Calibri" w:cs="Calibri"/>
                <w:b/>
                <w:bCs/>
              </w:rPr>
            </w:pPr>
          </w:p>
        </w:tc>
        <w:tc>
          <w:tcPr>
            <w:tcW w:w="1626" w:type="dxa"/>
            <w:tcMar>
              <w:top w:w="0" w:type="dxa"/>
              <w:left w:w="108" w:type="dxa"/>
              <w:bottom w:w="0" w:type="dxa"/>
              <w:right w:w="108" w:type="dxa"/>
            </w:tcMar>
            <w:hideMark/>
          </w:tcPr>
          <w:p w14:paraId="0E8211A9"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377464A0" w14:textId="77777777" w:rsidTr="006E5C07">
        <w:tc>
          <w:tcPr>
            <w:tcW w:w="4854" w:type="dxa"/>
            <w:tcMar>
              <w:top w:w="0" w:type="dxa"/>
              <w:left w:w="108" w:type="dxa"/>
              <w:bottom w:w="0" w:type="dxa"/>
              <w:right w:w="108" w:type="dxa"/>
            </w:tcMar>
            <w:hideMark/>
          </w:tcPr>
          <w:p w14:paraId="379737C9"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Charge in respect of temporary timing differences</w:t>
            </w:r>
          </w:p>
          <w:p w14:paraId="3F43F7E8"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Adjustment for under/(over) provision in prior periods</w:t>
            </w:r>
          </w:p>
        </w:tc>
        <w:tc>
          <w:tcPr>
            <w:tcW w:w="1485" w:type="dxa"/>
            <w:tcBorders>
              <w:top w:val="nil"/>
              <w:left w:val="nil"/>
              <w:bottom w:val="single" w:sz="8" w:space="0" w:color="auto"/>
              <w:right w:val="nil"/>
            </w:tcBorders>
            <w:tcMar>
              <w:top w:w="0" w:type="dxa"/>
              <w:left w:w="108" w:type="dxa"/>
              <w:bottom w:w="0" w:type="dxa"/>
              <w:right w:w="108" w:type="dxa"/>
            </w:tcMar>
            <w:hideMark/>
          </w:tcPr>
          <w:p w14:paraId="2D8A499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p w14:paraId="2D36C6B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(204)</w:t>
            </w:r>
          </w:p>
        </w:tc>
        <w:tc>
          <w:tcPr>
            <w:tcW w:w="1626" w:type="dxa"/>
            <w:tcBorders>
              <w:top w:val="nil"/>
              <w:left w:val="nil"/>
              <w:bottom w:val="single" w:sz="8" w:space="0" w:color="auto"/>
              <w:right w:val="nil"/>
            </w:tcBorders>
            <w:tcMar>
              <w:top w:w="0" w:type="dxa"/>
              <w:left w:w="108" w:type="dxa"/>
              <w:bottom w:w="0" w:type="dxa"/>
              <w:right w:w="108" w:type="dxa"/>
            </w:tcMar>
            <w:hideMark/>
          </w:tcPr>
          <w:p w14:paraId="2971C9D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(19)</w:t>
            </w:r>
          </w:p>
          <w:p w14:paraId="0D59573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(85)</w:t>
            </w:r>
          </w:p>
        </w:tc>
      </w:tr>
      <w:tr w:rsidR="006E5C07" w:rsidRPr="006E5C07" w14:paraId="56E828C5" w14:textId="77777777" w:rsidTr="006E5C07">
        <w:tc>
          <w:tcPr>
            <w:tcW w:w="4854" w:type="dxa"/>
            <w:tcMar>
              <w:top w:w="0" w:type="dxa"/>
              <w:left w:w="108" w:type="dxa"/>
              <w:bottom w:w="0" w:type="dxa"/>
              <w:right w:w="108" w:type="dxa"/>
            </w:tcMar>
            <w:hideMark/>
          </w:tcPr>
          <w:p w14:paraId="07452113"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Total deferred tax</w:t>
            </w:r>
          </w:p>
        </w:tc>
        <w:tc>
          <w:tcPr>
            <w:tcW w:w="1485" w:type="dxa"/>
            <w:tcBorders>
              <w:top w:val="nil"/>
              <w:left w:val="nil"/>
              <w:bottom w:val="nil"/>
              <w:right w:val="nil"/>
            </w:tcBorders>
            <w:tcMar>
              <w:top w:w="0" w:type="dxa"/>
              <w:left w:w="108" w:type="dxa"/>
              <w:bottom w:w="0" w:type="dxa"/>
              <w:right w:w="108" w:type="dxa"/>
            </w:tcMar>
            <w:hideMark/>
          </w:tcPr>
          <w:p w14:paraId="02128C4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(204)</w:t>
            </w:r>
          </w:p>
        </w:tc>
        <w:tc>
          <w:tcPr>
            <w:tcW w:w="1626" w:type="dxa"/>
            <w:tcBorders>
              <w:top w:val="nil"/>
              <w:left w:val="nil"/>
              <w:bottom w:val="nil"/>
              <w:right w:val="nil"/>
            </w:tcBorders>
            <w:tcMar>
              <w:top w:w="0" w:type="dxa"/>
              <w:left w:w="108" w:type="dxa"/>
              <w:bottom w:w="0" w:type="dxa"/>
              <w:right w:w="108" w:type="dxa"/>
            </w:tcMar>
            <w:hideMark/>
          </w:tcPr>
          <w:p w14:paraId="1C9D3AD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(104)</w:t>
            </w:r>
          </w:p>
        </w:tc>
      </w:tr>
      <w:tr w:rsidR="006E5C07" w:rsidRPr="006E5C07" w14:paraId="4F53B6FE" w14:textId="77777777" w:rsidTr="006E5C07">
        <w:tc>
          <w:tcPr>
            <w:tcW w:w="4854" w:type="dxa"/>
            <w:tcMar>
              <w:top w:w="0" w:type="dxa"/>
              <w:left w:w="108" w:type="dxa"/>
              <w:bottom w:w="0" w:type="dxa"/>
              <w:right w:w="108" w:type="dxa"/>
            </w:tcMar>
            <w:hideMark/>
          </w:tcPr>
          <w:p w14:paraId="23710168" w14:textId="77777777" w:rsidR="006E5C07" w:rsidRPr="006E5C07" w:rsidRDefault="006E5C07" w:rsidP="006E5C07">
            <w:pPr>
              <w:spacing w:after="0" w:line="240" w:lineRule="auto"/>
              <w:rPr>
                <w:rFonts w:ascii="Calibri" w:eastAsia="Times New Roman" w:hAnsi="Calibri" w:cs="Calibri"/>
              </w:rPr>
            </w:pPr>
          </w:p>
        </w:tc>
        <w:tc>
          <w:tcPr>
            <w:tcW w:w="1485" w:type="dxa"/>
            <w:tcBorders>
              <w:top w:val="nil"/>
              <w:left w:val="nil"/>
              <w:bottom w:val="single" w:sz="8" w:space="0" w:color="auto"/>
              <w:right w:val="nil"/>
            </w:tcBorders>
            <w:tcMar>
              <w:top w:w="0" w:type="dxa"/>
              <w:left w:w="108" w:type="dxa"/>
              <w:bottom w:w="0" w:type="dxa"/>
              <w:right w:w="108" w:type="dxa"/>
            </w:tcMar>
            <w:hideMark/>
          </w:tcPr>
          <w:p w14:paraId="414FC594" w14:textId="77777777" w:rsidR="006E5C07" w:rsidRPr="006E5C07" w:rsidRDefault="006E5C07" w:rsidP="006E5C07">
            <w:pPr>
              <w:spacing w:after="0" w:line="240" w:lineRule="auto"/>
              <w:jc w:val="right"/>
              <w:rPr>
                <w:rFonts w:ascii="Calibri" w:eastAsia="Times New Roman" w:hAnsi="Calibri" w:cs="Calibri"/>
                <w:b/>
                <w:bCs/>
              </w:rPr>
            </w:pPr>
          </w:p>
        </w:tc>
        <w:tc>
          <w:tcPr>
            <w:tcW w:w="1626" w:type="dxa"/>
            <w:tcBorders>
              <w:top w:val="nil"/>
              <w:left w:val="nil"/>
              <w:bottom w:val="single" w:sz="8" w:space="0" w:color="auto"/>
              <w:right w:val="nil"/>
            </w:tcBorders>
            <w:tcMar>
              <w:top w:w="0" w:type="dxa"/>
              <w:left w:w="108" w:type="dxa"/>
              <w:bottom w:w="0" w:type="dxa"/>
              <w:right w:w="108" w:type="dxa"/>
            </w:tcMar>
            <w:hideMark/>
          </w:tcPr>
          <w:p w14:paraId="2C5B8D97"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71F3919F" w14:textId="77777777" w:rsidTr="006E5C07">
        <w:tc>
          <w:tcPr>
            <w:tcW w:w="4854" w:type="dxa"/>
            <w:tcMar>
              <w:top w:w="0" w:type="dxa"/>
              <w:left w:w="108" w:type="dxa"/>
              <w:bottom w:w="0" w:type="dxa"/>
              <w:right w:w="108" w:type="dxa"/>
            </w:tcMar>
            <w:hideMark/>
          </w:tcPr>
          <w:p w14:paraId="599FFFA5"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 </w:t>
            </w:r>
          </w:p>
          <w:p w14:paraId="6A1F40D2"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Income tax (credit) / expense as reported in the income statement</w:t>
            </w:r>
          </w:p>
        </w:tc>
        <w:tc>
          <w:tcPr>
            <w:tcW w:w="1485" w:type="dxa"/>
            <w:tcBorders>
              <w:top w:val="nil"/>
              <w:left w:val="nil"/>
              <w:bottom w:val="single" w:sz="8" w:space="0" w:color="auto"/>
              <w:right w:val="nil"/>
            </w:tcBorders>
            <w:tcMar>
              <w:top w:w="0" w:type="dxa"/>
              <w:left w:w="108" w:type="dxa"/>
              <w:bottom w:w="0" w:type="dxa"/>
              <w:right w:w="108" w:type="dxa"/>
            </w:tcMar>
            <w:hideMark/>
          </w:tcPr>
          <w:p w14:paraId="4C0696FF"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 </w:t>
            </w:r>
          </w:p>
          <w:p w14:paraId="33DBA541"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(519)</w:t>
            </w:r>
          </w:p>
        </w:tc>
        <w:tc>
          <w:tcPr>
            <w:tcW w:w="1626" w:type="dxa"/>
            <w:tcBorders>
              <w:top w:val="nil"/>
              <w:left w:val="nil"/>
              <w:bottom w:val="single" w:sz="8" w:space="0" w:color="auto"/>
              <w:right w:val="nil"/>
            </w:tcBorders>
            <w:tcMar>
              <w:top w:w="0" w:type="dxa"/>
              <w:left w:w="108" w:type="dxa"/>
              <w:bottom w:w="0" w:type="dxa"/>
              <w:right w:w="108" w:type="dxa"/>
            </w:tcMar>
            <w:hideMark/>
          </w:tcPr>
          <w:p w14:paraId="0C5F88AE"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 </w:t>
            </w:r>
          </w:p>
          <w:p w14:paraId="480B3B6D"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21</w:t>
            </w:r>
          </w:p>
        </w:tc>
      </w:tr>
    </w:tbl>
    <w:p w14:paraId="2826767A"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669BE795"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061020FD" w14:textId="77777777" w:rsidR="006E5C07" w:rsidRPr="006E5C07" w:rsidRDefault="006E5C07" w:rsidP="006E5C07">
      <w:pPr>
        <w:spacing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lastRenderedPageBreak/>
        <w:t>The tax assessed for the period is higher than the standard rate of corporation tax in the UK. The differences are explained below:</w:t>
      </w:r>
    </w:p>
    <w:tbl>
      <w:tblPr>
        <w:tblW w:w="0" w:type="auto"/>
        <w:tblInd w:w="-108" w:type="dxa"/>
        <w:tblCellMar>
          <w:left w:w="0" w:type="dxa"/>
          <w:right w:w="0" w:type="dxa"/>
        </w:tblCellMar>
        <w:tblLook w:val="04A0" w:firstRow="1" w:lastRow="0" w:firstColumn="1" w:lastColumn="0" w:noHBand="0" w:noVBand="1"/>
      </w:tblPr>
      <w:tblGrid>
        <w:gridCol w:w="4854"/>
        <w:gridCol w:w="1485"/>
        <w:gridCol w:w="1626"/>
      </w:tblGrid>
      <w:tr w:rsidR="006E5C07" w:rsidRPr="006E5C07" w14:paraId="2DBE7DA7" w14:textId="77777777" w:rsidTr="006E5C07">
        <w:tc>
          <w:tcPr>
            <w:tcW w:w="4854" w:type="dxa"/>
            <w:tcMar>
              <w:top w:w="0" w:type="dxa"/>
              <w:left w:w="108" w:type="dxa"/>
              <w:bottom w:w="0" w:type="dxa"/>
              <w:right w:w="108" w:type="dxa"/>
            </w:tcMar>
            <w:hideMark/>
          </w:tcPr>
          <w:p w14:paraId="33CE45EE" w14:textId="77777777" w:rsidR="006E5C07" w:rsidRPr="006E5C07" w:rsidRDefault="006E5C07" w:rsidP="006E5C07">
            <w:pPr>
              <w:spacing w:after="0" w:line="240" w:lineRule="auto"/>
              <w:rPr>
                <w:rFonts w:ascii="Calibri" w:eastAsia="Times New Roman" w:hAnsi="Calibri" w:cs="Calibri"/>
              </w:rPr>
            </w:pPr>
          </w:p>
        </w:tc>
        <w:tc>
          <w:tcPr>
            <w:tcW w:w="1485" w:type="dxa"/>
            <w:tcMar>
              <w:top w:w="0" w:type="dxa"/>
              <w:left w:w="108" w:type="dxa"/>
              <w:bottom w:w="0" w:type="dxa"/>
              <w:right w:w="108" w:type="dxa"/>
            </w:tcMar>
            <w:hideMark/>
          </w:tcPr>
          <w:p w14:paraId="0B5D81E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c>
          <w:tcPr>
            <w:tcW w:w="1626" w:type="dxa"/>
            <w:tcMar>
              <w:top w:w="0" w:type="dxa"/>
              <w:left w:w="108" w:type="dxa"/>
              <w:bottom w:w="0" w:type="dxa"/>
              <w:right w:w="108" w:type="dxa"/>
            </w:tcMar>
            <w:hideMark/>
          </w:tcPr>
          <w:p w14:paraId="1D4CFE2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r>
      <w:tr w:rsidR="006E5C07" w:rsidRPr="006E5C07" w14:paraId="34543CA4" w14:textId="77777777" w:rsidTr="006E5C07">
        <w:tc>
          <w:tcPr>
            <w:tcW w:w="4854" w:type="dxa"/>
            <w:tcMar>
              <w:top w:w="0" w:type="dxa"/>
              <w:left w:w="108" w:type="dxa"/>
              <w:bottom w:w="0" w:type="dxa"/>
              <w:right w:w="108" w:type="dxa"/>
            </w:tcMar>
            <w:hideMark/>
          </w:tcPr>
          <w:p w14:paraId="7FE72995" w14:textId="77777777" w:rsidR="006E5C07" w:rsidRPr="006E5C07" w:rsidRDefault="006E5C07" w:rsidP="006E5C07">
            <w:pPr>
              <w:spacing w:after="0" w:line="240" w:lineRule="auto"/>
              <w:rPr>
                <w:rFonts w:ascii="Calibri" w:eastAsia="Times New Roman" w:hAnsi="Calibri" w:cs="Calibri"/>
              </w:rPr>
            </w:pPr>
          </w:p>
        </w:tc>
        <w:tc>
          <w:tcPr>
            <w:tcW w:w="1485" w:type="dxa"/>
            <w:tcMar>
              <w:top w:w="0" w:type="dxa"/>
              <w:left w:w="108" w:type="dxa"/>
              <w:bottom w:w="0" w:type="dxa"/>
              <w:right w:w="108" w:type="dxa"/>
            </w:tcMar>
            <w:hideMark/>
          </w:tcPr>
          <w:p w14:paraId="623348F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December '20</w:t>
            </w:r>
          </w:p>
        </w:tc>
        <w:tc>
          <w:tcPr>
            <w:tcW w:w="1626" w:type="dxa"/>
            <w:tcMar>
              <w:top w:w="0" w:type="dxa"/>
              <w:left w:w="108" w:type="dxa"/>
              <w:bottom w:w="0" w:type="dxa"/>
              <w:right w:w="108" w:type="dxa"/>
            </w:tcMar>
            <w:hideMark/>
          </w:tcPr>
          <w:p w14:paraId="6484088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December '19</w:t>
            </w:r>
          </w:p>
          <w:p w14:paraId="3847C4C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tc>
      </w:tr>
      <w:tr w:rsidR="006E5C07" w:rsidRPr="006E5C07" w14:paraId="4621494F" w14:textId="77777777" w:rsidTr="006E5C07">
        <w:tc>
          <w:tcPr>
            <w:tcW w:w="4854" w:type="dxa"/>
            <w:tcMar>
              <w:top w:w="0" w:type="dxa"/>
              <w:left w:w="108" w:type="dxa"/>
              <w:bottom w:w="0" w:type="dxa"/>
              <w:right w:w="108" w:type="dxa"/>
            </w:tcMar>
            <w:hideMark/>
          </w:tcPr>
          <w:p w14:paraId="1EA72437" w14:textId="77777777" w:rsidR="006E5C07" w:rsidRPr="006E5C07" w:rsidRDefault="006E5C07" w:rsidP="006E5C07">
            <w:pPr>
              <w:spacing w:after="0" w:line="240" w:lineRule="auto"/>
              <w:rPr>
                <w:rFonts w:ascii="Calibri" w:eastAsia="Times New Roman" w:hAnsi="Calibri" w:cs="Calibri"/>
              </w:rPr>
            </w:pPr>
          </w:p>
        </w:tc>
        <w:tc>
          <w:tcPr>
            <w:tcW w:w="1485" w:type="dxa"/>
            <w:tcMar>
              <w:top w:w="0" w:type="dxa"/>
              <w:left w:w="108" w:type="dxa"/>
              <w:bottom w:w="0" w:type="dxa"/>
              <w:right w:w="108" w:type="dxa"/>
            </w:tcMar>
            <w:hideMark/>
          </w:tcPr>
          <w:p w14:paraId="0D25142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1626" w:type="dxa"/>
            <w:tcMar>
              <w:top w:w="0" w:type="dxa"/>
              <w:left w:w="108" w:type="dxa"/>
              <w:bottom w:w="0" w:type="dxa"/>
              <w:right w:w="108" w:type="dxa"/>
            </w:tcMar>
            <w:hideMark/>
          </w:tcPr>
          <w:p w14:paraId="628291D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568BBEF2" w14:textId="77777777" w:rsidTr="006E5C07">
        <w:tc>
          <w:tcPr>
            <w:tcW w:w="4854" w:type="dxa"/>
            <w:tcMar>
              <w:top w:w="0" w:type="dxa"/>
              <w:left w:w="108" w:type="dxa"/>
              <w:bottom w:w="0" w:type="dxa"/>
              <w:right w:w="108" w:type="dxa"/>
            </w:tcMar>
            <w:hideMark/>
          </w:tcPr>
          <w:p w14:paraId="060626A2" w14:textId="77777777" w:rsidR="006E5C07" w:rsidRPr="006E5C07" w:rsidRDefault="006E5C07" w:rsidP="006E5C07">
            <w:pPr>
              <w:spacing w:after="0" w:line="240" w:lineRule="auto"/>
              <w:rPr>
                <w:rFonts w:ascii="Calibri" w:eastAsia="Times New Roman" w:hAnsi="Calibri" w:cs="Calibri"/>
              </w:rPr>
            </w:pPr>
          </w:p>
        </w:tc>
        <w:tc>
          <w:tcPr>
            <w:tcW w:w="1485" w:type="dxa"/>
            <w:tcMar>
              <w:top w:w="0" w:type="dxa"/>
              <w:left w:w="108" w:type="dxa"/>
              <w:bottom w:w="0" w:type="dxa"/>
              <w:right w:w="108" w:type="dxa"/>
            </w:tcMar>
            <w:hideMark/>
          </w:tcPr>
          <w:p w14:paraId="3504BA8B" w14:textId="77777777" w:rsidR="006E5C07" w:rsidRPr="006E5C07" w:rsidRDefault="006E5C07" w:rsidP="006E5C07">
            <w:pPr>
              <w:spacing w:after="0" w:line="240" w:lineRule="auto"/>
              <w:jc w:val="right"/>
              <w:rPr>
                <w:rFonts w:ascii="Calibri" w:eastAsia="Times New Roman" w:hAnsi="Calibri" w:cs="Calibri"/>
              </w:rPr>
            </w:pPr>
          </w:p>
        </w:tc>
        <w:tc>
          <w:tcPr>
            <w:tcW w:w="1626" w:type="dxa"/>
            <w:tcMar>
              <w:top w:w="0" w:type="dxa"/>
              <w:left w:w="108" w:type="dxa"/>
              <w:bottom w:w="0" w:type="dxa"/>
              <w:right w:w="108" w:type="dxa"/>
            </w:tcMar>
            <w:hideMark/>
          </w:tcPr>
          <w:p w14:paraId="117527FD"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48C8BC07" w14:textId="77777777" w:rsidTr="006E5C07">
        <w:tc>
          <w:tcPr>
            <w:tcW w:w="4854" w:type="dxa"/>
            <w:tcMar>
              <w:top w:w="0" w:type="dxa"/>
              <w:left w:w="108" w:type="dxa"/>
              <w:bottom w:w="0" w:type="dxa"/>
              <w:right w:w="108" w:type="dxa"/>
            </w:tcMar>
            <w:hideMark/>
          </w:tcPr>
          <w:p w14:paraId="4A291FEE"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(Loss) / profit on ordinary activities before tax</w:t>
            </w:r>
          </w:p>
        </w:tc>
        <w:tc>
          <w:tcPr>
            <w:tcW w:w="1485" w:type="dxa"/>
            <w:tcBorders>
              <w:top w:val="nil"/>
              <w:left w:val="nil"/>
              <w:bottom w:val="single" w:sz="8" w:space="0" w:color="auto"/>
              <w:right w:val="nil"/>
            </w:tcBorders>
            <w:tcMar>
              <w:top w:w="0" w:type="dxa"/>
              <w:left w:w="108" w:type="dxa"/>
              <w:bottom w:w="0" w:type="dxa"/>
              <w:right w:w="108" w:type="dxa"/>
            </w:tcMar>
            <w:hideMark/>
          </w:tcPr>
          <w:p w14:paraId="26BADB6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(3,874)</w:t>
            </w:r>
          </w:p>
        </w:tc>
        <w:tc>
          <w:tcPr>
            <w:tcW w:w="1626" w:type="dxa"/>
            <w:tcBorders>
              <w:top w:val="nil"/>
              <w:left w:val="nil"/>
              <w:bottom w:val="single" w:sz="8" w:space="0" w:color="auto"/>
              <w:right w:val="nil"/>
            </w:tcBorders>
            <w:tcMar>
              <w:top w:w="0" w:type="dxa"/>
              <w:left w:w="108" w:type="dxa"/>
              <w:bottom w:w="0" w:type="dxa"/>
              <w:right w:w="108" w:type="dxa"/>
            </w:tcMar>
            <w:hideMark/>
          </w:tcPr>
          <w:p w14:paraId="697F03F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71</w:t>
            </w:r>
          </w:p>
        </w:tc>
      </w:tr>
      <w:tr w:rsidR="006E5C07" w:rsidRPr="006E5C07" w14:paraId="76B93828" w14:textId="77777777" w:rsidTr="006E5C07">
        <w:tc>
          <w:tcPr>
            <w:tcW w:w="4854" w:type="dxa"/>
            <w:tcMar>
              <w:top w:w="0" w:type="dxa"/>
              <w:left w:w="108" w:type="dxa"/>
              <w:bottom w:w="0" w:type="dxa"/>
              <w:right w:w="108" w:type="dxa"/>
            </w:tcMar>
            <w:hideMark/>
          </w:tcPr>
          <w:p w14:paraId="57E23E72"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6"/>
                <w:szCs w:val="16"/>
              </w:rPr>
              <w:t>Profit on ordinary activities at the standard rate of corporation tax in</w:t>
            </w:r>
          </w:p>
        </w:tc>
        <w:tc>
          <w:tcPr>
            <w:tcW w:w="1485" w:type="dxa"/>
            <w:tcBorders>
              <w:top w:val="nil"/>
              <w:left w:val="nil"/>
              <w:bottom w:val="nil"/>
              <w:right w:val="nil"/>
            </w:tcBorders>
            <w:tcMar>
              <w:top w:w="0" w:type="dxa"/>
              <w:left w:w="108" w:type="dxa"/>
              <w:bottom w:w="0" w:type="dxa"/>
              <w:right w:w="108" w:type="dxa"/>
            </w:tcMar>
            <w:hideMark/>
          </w:tcPr>
          <w:p w14:paraId="1D827674" w14:textId="77777777" w:rsidR="006E5C07" w:rsidRPr="006E5C07" w:rsidRDefault="006E5C07" w:rsidP="006E5C07">
            <w:pPr>
              <w:spacing w:after="0" w:line="240" w:lineRule="auto"/>
              <w:rPr>
                <w:rFonts w:ascii="Calibri" w:eastAsia="Times New Roman" w:hAnsi="Calibri" w:cs="Calibri"/>
              </w:rPr>
            </w:pPr>
          </w:p>
        </w:tc>
        <w:tc>
          <w:tcPr>
            <w:tcW w:w="1626" w:type="dxa"/>
            <w:tcBorders>
              <w:top w:val="nil"/>
              <w:left w:val="nil"/>
              <w:bottom w:val="nil"/>
              <w:right w:val="nil"/>
            </w:tcBorders>
            <w:tcMar>
              <w:top w:w="0" w:type="dxa"/>
              <w:left w:w="108" w:type="dxa"/>
              <w:bottom w:w="0" w:type="dxa"/>
              <w:right w:w="108" w:type="dxa"/>
            </w:tcMar>
            <w:hideMark/>
          </w:tcPr>
          <w:p w14:paraId="31070E38" w14:textId="77777777" w:rsidR="006E5C07" w:rsidRPr="006E5C07" w:rsidRDefault="006E5C07" w:rsidP="006E5C07">
            <w:pPr>
              <w:spacing w:after="0" w:line="240" w:lineRule="auto"/>
              <w:rPr>
                <w:rFonts w:ascii="Calibri" w:eastAsia="Times New Roman" w:hAnsi="Calibri" w:cs="Calibri"/>
              </w:rPr>
            </w:pPr>
          </w:p>
        </w:tc>
      </w:tr>
      <w:tr w:rsidR="006E5C07" w:rsidRPr="006E5C07" w14:paraId="74E64E36" w14:textId="77777777" w:rsidTr="006E5C07">
        <w:tc>
          <w:tcPr>
            <w:tcW w:w="4854" w:type="dxa"/>
            <w:tcMar>
              <w:top w:w="0" w:type="dxa"/>
              <w:left w:w="108" w:type="dxa"/>
              <w:bottom w:w="0" w:type="dxa"/>
              <w:right w:w="108" w:type="dxa"/>
            </w:tcMar>
            <w:hideMark/>
          </w:tcPr>
          <w:p w14:paraId="3AAC511D"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6"/>
                <w:szCs w:val="16"/>
              </w:rPr>
              <w:t>the UK of 19% (2019: 19%)                                                              </w:t>
            </w:r>
          </w:p>
        </w:tc>
        <w:tc>
          <w:tcPr>
            <w:tcW w:w="1485" w:type="dxa"/>
            <w:tcMar>
              <w:top w:w="0" w:type="dxa"/>
              <w:left w:w="108" w:type="dxa"/>
              <w:bottom w:w="0" w:type="dxa"/>
              <w:right w:w="108" w:type="dxa"/>
            </w:tcMar>
            <w:hideMark/>
          </w:tcPr>
          <w:p w14:paraId="7FB0A5AA" w14:textId="77777777" w:rsidR="006E5C07" w:rsidRPr="006E5C07" w:rsidRDefault="006E5C07" w:rsidP="006E5C07">
            <w:pPr>
              <w:spacing w:after="0" w:line="240" w:lineRule="auto"/>
              <w:jc w:val="right"/>
              <w:rPr>
                <w:rFonts w:ascii="Calibri" w:eastAsia="Times New Roman" w:hAnsi="Calibri" w:cs="Calibri"/>
              </w:rPr>
            </w:pPr>
          </w:p>
        </w:tc>
        <w:tc>
          <w:tcPr>
            <w:tcW w:w="1626" w:type="dxa"/>
            <w:tcMar>
              <w:top w:w="0" w:type="dxa"/>
              <w:left w:w="108" w:type="dxa"/>
              <w:bottom w:w="0" w:type="dxa"/>
              <w:right w:w="108" w:type="dxa"/>
            </w:tcMar>
            <w:hideMark/>
          </w:tcPr>
          <w:p w14:paraId="36D06CAF"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3F0E281D" w14:textId="77777777" w:rsidTr="006E5C07">
        <w:tc>
          <w:tcPr>
            <w:tcW w:w="4854" w:type="dxa"/>
            <w:tcMar>
              <w:top w:w="0" w:type="dxa"/>
              <w:left w:w="108" w:type="dxa"/>
              <w:bottom w:w="0" w:type="dxa"/>
              <w:right w:w="108" w:type="dxa"/>
            </w:tcMar>
            <w:hideMark/>
          </w:tcPr>
          <w:p w14:paraId="4253694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6"/>
                <w:szCs w:val="16"/>
              </w:rPr>
              <w:t>Jan - Dec 2019: 19%</w:t>
            </w:r>
          </w:p>
        </w:tc>
        <w:tc>
          <w:tcPr>
            <w:tcW w:w="1485" w:type="dxa"/>
            <w:tcMar>
              <w:top w:w="0" w:type="dxa"/>
              <w:left w:w="108" w:type="dxa"/>
              <w:bottom w:w="0" w:type="dxa"/>
              <w:right w:w="108" w:type="dxa"/>
            </w:tcMar>
            <w:hideMark/>
          </w:tcPr>
          <w:p w14:paraId="14F98B0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626" w:type="dxa"/>
            <w:tcMar>
              <w:top w:w="0" w:type="dxa"/>
              <w:left w:w="108" w:type="dxa"/>
              <w:bottom w:w="0" w:type="dxa"/>
              <w:right w:w="108" w:type="dxa"/>
            </w:tcMar>
            <w:hideMark/>
          </w:tcPr>
          <w:p w14:paraId="4456552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13</w:t>
            </w:r>
          </w:p>
        </w:tc>
      </w:tr>
      <w:tr w:rsidR="006E5C07" w:rsidRPr="006E5C07" w14:paraId="281949A2" w14:textId="77777777" w:rsidTr="006E5C07">
        <w:tc>
          <w:tcPr>
            <w:tcW w:w="4854" w:type="dxa"/>
            <w:tcMar>
              <w:top w:w="0" w:type="dxa"/>
              <w:left w:w="108" w:type="dxa"/>
              <w:bottom w:w="0" w:type="dxa"/>
              <w:right w:w="108" w:type="dxa"/>
            </w:tcMar>
            <w:hideMark/>
          </w:tcPr>
          <w:p w14:paraId="1D25C40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6"/>
                <w:szCs w:val="16"/>
              </w:rPr>
              <w:t>                                                                Jan - Dec 2020: 19%</w:t>
            </w:r>
          </w:p>
        </w:tc>
        <w:tc>
          <w:tcPr>
            <w:tcW w:w="1485" w:type="dxa"/>
            <w:tcMar>
              <w:top w:w="0" w:type="dxa"/>
              <w:left w:w="108" w:type="dxa"/>
              <w:bottom w:w="0" w:type="dxa"/>
              <w:right w:w="108" w:type="dxa"/>
            </w:tcMar>
            <w:hideMark/>
          </w:tcPr>
          <w:p w14:paraId="4CDE95D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(736)</w:t>
            </w:r>
          </w:p>
        </w:tc>
        <w:tc>
          <w:tcPr>
            <w:tcW w:w="1626" w:type="dxa"/>
            <w:tcMar>
              <w:top w:w="0" w:type="dxa"/>
              <w:left w:w="108" w:type="dxa"/>
              <w:bottom w:w="0" w:type="dxa"/>
              <w:right w:w="108" w:type="dxa"/>
            </w:tcMar>
            <w:hideMark/>
          </w:tcPr>
          <w:p w14:paraId="12281E2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r>
      <w:tr w:rsidR="006E5C07" w:rsidRPr="006E5C07" w14:paraId="45751A3B" w14:textId="77777777" w:rsidTr="006E5C07">
        <w:tc>
          <w:tcPr>
            <w:tcW w:w="4854" w:type="dxa"/>
            <w:tcMar>
              <w:top w:w="0" w:type="dxa"/>
              <w:left w:w="108" w:type="dxa"/>
              <w:bottom w:w="0" w:type="dxa"/>
              <w:right w:w="108" w:type="dxa"/>
            </w:tcMar>
            <w:hideMark/>
          </w:tcPr>
          <w:p w14:paraId="6D2A9DA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6"/>
                <w:szCs w:val="16"/>
              </w:rPr>
              <w:t>                                                               </w:t>
            </w:r>
          </w:p>
        </w:tc>
        <w:tc>
          <w:tcPr>
            <w:tcW w:w="1485" w:type="dxa"/>
            <w:tcMar>
              <w:top w:w="0" w:type="dxa"/>
              <w:left w:w="108" w:type="dxa"/>
              <w:bottom w:w="0" w:type="dxa"/>
              <w:right w:w="108" w:type="dxa"/>
            </w:tcMar>
            <w:hideMark/>
          </w:tcPr>
          <w:p w14:paraId="16EFB6D0" w14:textId="77777777" w:rsidR="006E5C07" w:rsidRPr="006E5C07" w:rsidRDefault="006E5C07" w:rsidP="006E5C07">
            <w:pPr>
              <w:spacing w:after="0" w:line="240" w:lineRule="auto"/>
              <w:jc w:val="right"/>
              <w:rPr>
                <w:rFonts w:ascii="Calibri" w:eastAsia="Times New Roman" w:hAnsi="Calibri" w:cs="Calibri"/>
              </w:rPr>
            </w:pPr>
          </w:p>
        </w:tc>
        <w:tc>
          <w:tcPr>
            <w:tcW w:w="1626" w:type="dxa"/>
            <w:tcMar>
              <w:top w:w="0" w:type="dxa"/>
              <w:left w:w="108" w:type="dxa"/>
              <w:bottom w:w="0" w:type="dxa"/>
              <w:right w:w="108" w:type="dxa"/>
            </w:tcMar>
            <w:hideMark/>
          </w:tcPr>
          <w:p w14:paraId="05450FA0"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11EA6010" w14:textId="77777777" w:rsidTr="006E5C07">
        <w:tc>
          <w:tcPr>
            <w:tcW w:w="4854" w:type="dxa"/>
            <w:tcMar>
              <w:top w:w="0" w:type="dxa"/>
              <w:left w:w="108" w:type="dxa"/>
              <w:bottom w:w="0" w:type="dxa"/>
              <w:right w:w="108" w:type="dxa"/>
            </w:tcMar>
            <w:hideMark/>
          </w:tcPr>
          <w:p w14:paraId="387C309C"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Tax effect of:</w:t>
            </w:r>
          </w:p>
        </w:tc>
        <w:tc>
          <w:tcPr>
            <w:tcW w:w="1485" w:type="dxa"/>
            <w:tcMar>
              <w:top w:w="0" w:type="dxa"/>
              <w:left w:w="108" w:type="dxa"/>
              <w:bottom w:w="0" w:type="dxa"/>
              <w:right w:w="108" w:type="dxa"/>
            </w:tcMar>
            <w:hideMark/>
          </w:tcPr>
          <w:p w14:paraId="0F61AF16" w14:textId="77777777" w:rsidR="006E5C07" w:rsidRPr="006E5C07" w:rsidRDefault="006E5C07" w:rsidP="006E5C07">
            <w:pPr>
              <w:spacing w:after="0" w:line="240" w:lineRule="auto"/>
              <w:jc w:val="right"/>
              <w:rPr>
                <w:rFonts w:ascii="Calibri" w:eastAsia="Times New Roman" w:hAnsi="Calibri" w:cs="Calibri"/>
              </w:rPr>
            </w:pPr>
          </w:p>
        </w:tc>
        <w:tc>
          <w:tcPr>
            <w:tcW w:w="1626" w:type="dxa"/>
            <w:tcMar>
              <w:top w:w="0" w:type="dxa"/>
              <w:left w:w="108" w:type="dxa"/>
              <w:bottom w:w="0" w:type="dxa"/>
              <w:right w:w="108" w:type="dxa"/>
            </w:tcMar>
            <w:hideMark/>
          </w:tcPr>
          <w:p w14:paraId="31868D60"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26813703" w14:textId="77777777" w:rsidTr="006E5C07">
        <w:tc>
          <w:tcPr>
            <w:tcW w:w="4854" w:type="dxa"/>
            <w:tcMar>
              <w:top w:w="0" w:type="dxa"/>
              <w:left w:w="108" w:type="dxa"/>
              <w:bottom w:w="0" w:type="dxa"/>
              <w:right w:w="108" w:type="dxa"/>
            </w:tcMar>
            <w:hideMark/>
          </w:tcPr>
          <w:p w14:paraId="67740487" w14:textId="77777777" w:rsidR="006E5C07" w:rsidRPr="006E5C07" w:rsidRDefault="006E5C07" w:rsidP="006E5C07">
            <w:pPr>
              <w:spacing w:after="0" w:line="240" w:lineRule="auto"/>
              <w:ind w:left="405" w:hanging="360"/>
              <w:rPr>
                <w:rFonts w:ascii="Calibri" w:eastAsia="Times New Roman" w:hAnsi="Calibri" w:cs="Calibri"/>
              </w:rPr>
            </w:pPr>
            <w:r w:rsidRPr="006E5C07">
              <w:rPr>
                <w:rFonts w:ascii="Calibri" w:eastAsia="Times New Roman" w:hAnsi="Calibri" w:cs="Calibri"/>
                <w:b/>
                <w:bCs/>
                <w:sz w:val="18"/>
                <w:szCs w:val="18"/>
              </w:rPr>
              <w:t>-       </w:t>
            </w:r>
            <w:r w:rsidRPr="006E5C07">
              <w:rPr>
                <w:rFonts w:ascii="Gill Sans MT" w:eastAsia="Times New Roman" w:hAnsi="Gill Sans MT" w:cs="Calibri"/>
                <w:sz w:val="18"/>
                <w:szCs w:val="18"/>
              </w:rPr>
              <w:t>Adjustment for (over)/under provision in prior periods</w:t>
            </w:r>
          </w:p>
          <w:p w14:paraId="68DE8A27" w14:textId="77777777" w:rsidR="006E5C07" w:rsidRPr="006E5C07" w:rsidRDefault="006E5C07" w:rsidP="006E5C07">
            <w:pPr>
              <w:spacing w:after="0" w:line="240" w:lineRule="auto"/>
              <w:ind w:left="405" w:hanging="360"/>
              <w:rPr>
                <w:rFonts w:ascii="Calibri" w:eastAsia="Times New Roman" w:hAnsi="Calibri" w:cs="Calibri"/>
              </w:rPr>
            </w:pPr>
            <w:r w:rsidRPr="006E5C07">
              <w:rPr>
                <w:rFonts w:ascii="Calibri" w:eastAsia="Times New Roman" w:hAnsi="Calibri" w:cs="Calibri"/>
                <w:b/>
                <w:bCs/>
                <w:sz w:val="18"/>
                <w:szCs w:val="18"/>
              </w:rPr>
              <w:t>-       </w:t>
            </w:r>
            <w:r w:rsidRPr="006E5C07">
              <w:rPr>
                <w:rFonts w:ascii="Gill Sans MT" w:eastAsia="Times New Roman" w:hAnsi="Gill Sans MT" w:cs="Calibri"/>
                <w:sz w:val="18"/>
                <w:szCs w:val="18"/>
              </w:rPr>
              <w:t>Effect of losses carried back</w:t>
            </w:r>
          </w:p>
          <w:p w14:paraId="3C66F593" w14:textId="77777777" w:rsidR="006E5C07" w:rsidRPr="006E5C07" w:rsidRDefault="006E5C07" w:rsidP="006E5C07">
            <w:pPr>
              <w:spacing w:after="0" w:line="240" w:lineRule="auto"/>
              <w:ind w:left="405" w:hanging="360"/>
              <w:rPr>
                <w:rFonts w:ascii="Calibri" w:eastAsia="Times New Roman" w:hAnsi="Calibri" w:cs="Calibri"/>
              </w:rPr>
            </w:pPr>
            <w:r w:rsidRPr="006E5C07">
              <w:rPr>
                <w:rFonts w:ascii="Calibri" w:eastAsia="Times New Roman" w:hAnsi="Calibri" w:cs="Calibri"/>
                <w:b/>
                <w:bCs/>
                <w:sz w:val="18"/>
                <w:szCs w:val="18"/>
              </w:rPr>
              <w:t>-       </w:t>
            </w:r>
            <w:r w:rsidRPr="006E5C07">
              <w:rPr>
                <w:rFonts w:ascii="Gill Sans MT" w:eastAsia="Times New Roman" w:hAnsi="Gill Sans MT" w:cs="Calibri"/>
                <w:sz w:val="18"/>
                <w:szCs w:val="18"/>
              </w:rPr>
              <w:t>Effect of foreign tax</w:t>
            </w:r>
          </w:p>
        </w:tc>
        <w:tc>
          <w:tcPr>
            <w:tcW w:w="1485" w:type="dxa"/>
            <w:tcMar>
              <w:top w:w="0" w:type="dxa"/>
              <w:left w:w="108" w:type="dxa"/>
              <w:bottom w:w="0" w:type="dxa"/>
              <w:right w:w="108" w:type="dxa"/>
            </w:tcMar>
            <w:hideMark/>
          </w:tcPr>
          <w:p w14:paraId="54E7E87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(353)</w:t>
            </w:r>
          </w:p>
          <w:p w14:paraId="5FCDCB7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180</w:t>
            </w:r>
          </w:p>
          <w:p w14:paraId="75034A7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112</w:t>
            </w:r>
          </w:p>
        </w:tc>
        <w:tc>
          <w:tcPr>
            <w:tcW w:w="1626" w:type="dxa"/>
            <w:tcMar>
              <w:top w:w="0" w:type="dxa"/>
              <w:left w:w="108" w:type="dxa"/>
              <w:bottom w:w="0" w:type="dxa"/>
              <w:right w:w="108" w:type="dxa"/>
            </w:tcMar>
            <w:hideMark/>
          </w:tcPr>
          <w:p w14:paraId="1A4D17A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(136)</w:t>
            </w:r>
          </w:p>
          <w:p w14:paraId="1A90C90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p w14:paraId="3F7C818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r>
      <w:tr w:rsidR="006E5C07" w:rsidRPr="006E5C07" w14:paraId="6ACD869D" w14:textId="77777777" w:rsidTr="006E5C07">
        <w:tc>
          <w:tcPr>
            <w:tcW w:w="4854" w:type="dxa"/>
            <w:tcMar>
              <w:top w:w="0" w:type="dxa"/>
              <w:left w:w="108" w:type="dxa"/>
              <w:bottom w:w="0" w:type="dxa"/>
              <w:right w:w="108" w:type="dxa"/>
            </w:tcMar>
            <w:hideMark/>
          </w:tcPr>
          <w:p w14:paraId="46283F50" w14:textId="77777777" w:rsidR="006E5C07" w:rsidRPr="006E5C07" w:rsidRDefault="006E5C07" w:rsidP="006E5C07">
            <w:pPr>
              <w:spacing w:after="0" w:line="240" w:lineRule="auto"/>
              <w:ind w:left="405" w:hanging="360"/>
              <w:rPr>
                <w:rFonts w:ascii="Calibri" w:eastAsia="Times New Roman" w:hAnsi="Calibri" w:cs="Calibri"/>
              </w:rPr>
            </w:pPr>
            <w:r w:rsidRPr="006E5C07">
              <w:rPr>
                <w:rFonts w:ascii="Calibri" w:eastAsia="Times New Roman" w:hAnsi="Calibri" w:cs="Calibri"/>
                <w:b/>
                <w:bCs/>
                <w:sz w:val="18"/>
                <w:szCs w:val="18"/>
              </w:rPr>
              <w:t>-       </w:t>
            </w:r>
            <w:r w:rsidRPr="006E5C07">
              <w:rPr>
                <w:rFonts w:ascii="Gill Sans MT" w:eastAsia="Times New Roman" w:hAnsi="Gill Sans MT" w:cs="Calibri"/>
                <w:sz w:val="18"/>
                <w:szCs w:val="18"/>
              </w:rPr>
              <w:t>Disallowable items</w:t>
            </w:r>
          </w:p>
          <w:p w14:paraId="1111B602" w14:textId="77777777" w:rsidR="006E5C07" w:rsidRPr="006E5C07" w:rsidRDefault="006E5C07" w:rsidP="006E5C07">
            <w:pPr>
              <w:spacing w:after="0" w:line="240" w:lineRule="auto"/>
              <w:ind w:left="405" w:hanging="360"/>
              <w:rPr>
                <w:rFonts w:ascii="Calibri" w:eastAsia="Times New Roman" w:hAnsi="Calibri" w:cs="Calibri"/>
              </w:rPr>
            </w:pPr>
            <w:r w:rsidRPr="006E5C07">
              <w:rPr>
                <w:rFonts w:ascii="Calibri" w:eastAsia="Times New Roman" w:hAnsi="Calibri" w:cs="Calibri"/>
                <w:b/>
                <w:bCs/>
                <w:sz w:val="18"/>
                <w:szCs w:val="18"/>
              </w:rPr>
              <w:t>-       </w:t>
            </w:r>
            <w:r w:rsidRPr="006E5C07">
              <w:rPr>
                <w:rFonts w:ascii="Gill Sans MT" w:eastAsia="Times New Roman" w:hAnsi="Gill Sans MT" w:cs="Calibri"/>
                <w:sz w:val="18"/>
                <w:szCs w:val="18"/>
              </w:rPr>
              <w:t>Tax losses</w:t>
            </w:r>
          </w:p>
        </w:tc>
        <w:tc>
          <w:tcPr>
            <w:tcW w:w="1485" w:type="dxa"/>
            <w:tcMar>
              <w:top w:w="0" w:type="dxa"/>
              <w:left w:w="108" w:type="dxa"/>
              <w:bottom w:w="0" w:type="dxa"/>
              <w:right w:w="108" w:type="dxa"/>
            </w:tcMar>
            <w:hideMark/>
          </w:tcPr>
          <w:p w14:paraId="6F802B5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278</w:t>
            </w:r>
          </w:p>
          <w:p w14:paraId="230A8BE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626" w:type="dxa"/>
            <w:tcMar>
              <w:top w:w="0" w:type="dxa"/>
              <w:left w:w="108" w:type="dxa"/>
              <w:bottom w:w="0" w:type="dxa"/>
              <w:right w:w="108" w:type="dxa"/>
            </w:tcMar>
            <w:hideMark/>
          </w:tcPr>
          <w:p w14:paraId="66A70AA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w:t>
            </w:r>
          </w:p>
          <w:p w14:paraId="315025F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139</w:t>
            </w:r>
          </w:p>
        </w:tc>
      </w:tr>
      <w:tr w:rsidR="006E5C07" w:rsidRPr="006E5C07" w14:paraId="72504DD5" w14:textId="77777777" w:rsidTr="006E5C07">
        <w:tc>
          <w:tcPr>
            <w:tcW w:w="4854" w:type="dxa"/>
            <w:tcMar>
              <w:top w:w="0" w:type="dxa"/>
              <w:left w:w="108" w:type="dxa"/>
              <w:bottom w:w="0" w:type="dxa"/>
              <w:right w:w="108" w:type="dxa"/>
            </w:tcMar>
            <w:hideMark/>
          </w:tcPr>
          <w:p w14:paraId="69B227F9" w14:textId="77777777" w:rsidR="006E5C07" w:rsidRPr="006E5C07" w:rsidRDefault="006E5C07" w:rsidP="006E5C07">
            <w:pPr>
              <w:spacing w:after="0" w:line="240" w:lineRule="auto"/>
              <w:rPr>
                <w:rFonts w:ascii="Calibri" w:eastAsia="Times New Roman" w:hAnsi="Calibri" w:cs="Calibri"/>
              </w:rPr>
            </w:pPr>
          </w:p>
        </w:tc>
        <w:tc>
          <w:tcPr>
            <w:tcW w:w="1485" w:type="dxa"/>
            <w:tcBorders>
              <w:top w:val="nil"/>
              <w:left w:val="nil"/>
              <w:bottom w:val="single" w:sz="8" w:space="0" w:color="auto"/>
              <w:right w:val="nil"/>
            </w:tcBorders>
            <w:tcMar>
              <w:top w:w="0" w:type="dxa"/>
              <w:left w:w="108" w:type="dxa"/>
              <w:bottom w:w="0" w:type="dxa"/>
              <w:right w:w="108" w:type="dxa"/>
            </w:tcMar>
            <w:hideMark/>
          </w:tcPr>
          <w:p w14:paraId="72B46DDF" w14:textId="77777777" w:rsidR="006E5C07" w:rsidRPr="006E5C07" w:rsidRDefault="006E5C07" w:rsidP="006E5C07">
            <w:pPr>
              <w:spacing w:after="0" w:line="240" w:lineRule="auto"/>
              <w:jc w:val="right"/>
              <w:rPr>
                <w:rFonts w:ascii="Calibri" w:eastAsia="Times New Roman" w:hAnsi="Calibri" w:cs="Calibri"/>
              </w:rPr>
            </w:pPr>
          </w:p>
        </w:tc>
        <w:tc>
          <w:tcPr>
            <w:tcW w:w="1626" w:type="dxa"/>
            <w:tcBorders>
              <w:top w:val="nil"/>
              <w:left w:val="nil"/>
              <w:bottom w:val="single" w:sz="8" w:space="0" w:color="auto"/>
              <w:right w:val="nil"/>
            </w:tcBorders>
            <w:tcMar>
              <w:top w:w="0" w:type="dxa"/>
              <w:left w:w="108" w:type="dxa"/>
              <w:bottom w:w="0" w:type="dxa"/>
              <w:right w:w="108" w:type="dxa"/>
            </w:tcMar>
            <w:hideMark/>
          </w:tcPr>
          <w:p w14:paraId="0EE7EBDE"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619DD1D9" w14:textId="77777777" w:rsidTr="006E5C07">
        <w:tc>
          <w:tcPr>
            <w:tcW w:w="4854" w:type="dxa"/>
            <w:tcMar>
              <w:top w:w="0" w:type="dxa"/>
              <w:left w:w="108" w:type="dxa"/>
              <w:bottom w:w="0" w:type="dxa"/>
              <w:right w:w="108" w:type="dxa"/>
            </w:tcMar>
            <w:hideMark/>
          </w:tcPr>
          <w:p w14:paraId="0DC6C856"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Income tax expense as reported in the Income Statement</w:t>
            </w:r>
          </w:p>
        </w:tc>
        <w:tc>
          <w:tcPr>
            <w:tcW w:w="1485" w:type="dxa"/>
            <w:tcBorders>
              <w:top w:val="nil"/>
              <w:left w:val="nil"/>
              <w:bottom w:val="single" w:sz="8" w:space="0" w:color="auto"/>
              <w:right w:val="nil"/>
            </w:tcBorders>
            <w:tcMar>
              <w:top w:w="0" w:type="dxa"/>
              <w:left w:w="108" w:type="dxa"/>
              <w:bottom w:w="0" w:type="dxa"/>
              <w:right w:w="108" w:type="dxa"/>
            </w:tcMar>
            <w:hideMark/>
          </w:tcPr>
          <w:p w14:paraId="1E004AB5"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(519)</w:t>
            </w:r>
          </w:p>
        </w:tc>
        <w:tc>
          <w:tcPr>
            <w:tcW w:w="1626" w:type="dxa"/>
            <w:tcBorders>
              <w:top w:val="nil"/>
              <w:left w:val="nil"/>
              <w:bottom w:val="single" w:sz="8" w:space="0" w:color="auto"/>
              <w:right w:val="nil"/>
            </w:tcBorders>
            <w:tcMar>
              <w:top w:w="0" w:type="dxa"/>
              <w:left w:w="108" w:type="dxa"/>
              <w:bottom w:w="0" w:type="dxa"/>
              <w:right w:w="108" w:type="dxa"/>
            </w:tcMar>
            <w:hideMark/>
          </w:tcPr>
          <w:p w14:paraId="0C3ED5D4"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21</w:t>
            </w:r>
          </w:p>
        </w:tc>
      </w:tr>
    </w:tbl>
    <w:p w14:paraId="7E8855A2"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4F4A25F5" w14:textId="77777777" w:rsidR="006E5C07" w:rsidRPr="006E5C07" w:rsidRDefault="006E5C07" w:rsidP="006E5C07">
      <w:pPr>
        <w:spacing w:after="0" w:line="240" w:lineRule="auto"/>
        <w:ind w:hanging="567"/>
        <w:jc w:val="both"/>
        <w:rPr>
          <w:rFonts w:ascii="Calibri" w:eastAsia="Times New Roman" w:hAnsi="Calibri" w:cs="Calibri"/>
          <w:color w:val="16202C"/>
        </w:rPr>
      </w:pPr>
      <w:r w:rsidRPr="006E5C07">
        <w:rPr>
          <w:rFonts w:ascii="Gill Sans MT" w:eastAsia="Times New Roman" w:hAnsi="Gill Sans MT" w:cs="Calibri"/>
          <w:b/>
          <w:bCs/>
          <w:color w:val="16202C"/>
          <w:sz w:val="18"/>
          <w:szCs w:val="18"/>
        </w:rPr>
        <w:t>11.       Loss for the period</w:t>
      </w:r>
    </w:p>
    <w:p w14:paraId="6A9EF674"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6F61A0CC"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Company has taken advantage of the exemption allowed under Section 408 of the Companies Act 2006 and has not presented its own Income Statement in these financial statements. The Group profit for the period includes a Company loss after tax of £1,397k after the incorporation of all UK head office costs (2019 restated profit: £143k) which is dealt with in the financial statements of the parent Company.</w:t>
      </w:r>
    </w:p>
    <w:p w14:paraId="0F629817"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54716613" w14:textId="77777777" w:rsidR="006E5C07" w:rsidRPr="006E5C07" w:rsidRDefault="006E5C07" w:rsidP="006E5C07">
      <w:pPr>
        <w:spacing w:after="0" w:line="240" w:lineRule="auto"/>
        <w:ind w:hanging="567"/>
        <w:jc w:val="both"/>
        <w:rPr>
          <w:rFonts w:ascii="Calibri" w:eastAsia="Times New Roman" w:hAnsi="Calibri" w:cs="Calibri"/>
          <w:color w:val="16202C"/>
        </w:rPr>
      </w:pPr>
      <w:r w:rsidRPr="006E5C07">
        <w:rPr>
          <w:rFonts w:ascii="Gill Sans MT" w:eastAsia="Times New Roman" w:hAnsi="Gill Sans MT" w:cs="Calibri"/>
          <w:b/>
          <w:bCs/>
          <w:color w:val="16202C"/>
          <w:sz w:val="18"/>
          <w:szCs w:val="18"/>
        </w:rPr>
        <w:t>12.       Discontinued operation</w:t>
      </w:r>
    </w:p>
    <w:p w14:paraId="1D65B7D4"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6249FA15"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On 15 January 2021,  the Group disposed of its entire holding in SpaceandPeople India (Pvt) Limited and is reported in the current period as a discontinued operation. Financial information relating to the discontinued operation is disclosed below.</w:t>
      </w:r>
    </w:p>
    <w:p w14:paraId="4B0BEF10"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23DF272F"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financial performance for the periods ended 31 December 2020 and 31 December 2019.</w:t>
      </w:r>
    </w:p>
    <w:p w14:paraId="42EEFEE8" w14:textId="77777777" w:rsidR="006E5C07" w:rsidRPr="006E5C07" w:rsidRDefault="006E5C07" w:rsidP="006E5C07">
      <w:pPr>
        <w:spacing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4887"/>
        <w:gridCol w:w="1485"/>
        <w:gridCol w:w="1911"/>
      </w:tblGrid>
      <w:tr w:rsidR="006E5C07" w:rsidRPr="006E5C07" w14:paraId="768879F9" w14:textId="77777777" w:rsidTr="006E5C07">
        <w:tc>
          <w:tcPr>
            <w:tcW w:w="4887" w:type="dxa"/>
            <w:tcMar>
              <w:top w:w="0" w:type="dxa"/>
              <w:left w:w="108" w:type="dxa"/>
              <w:bottom w:w="0" w:type="dxa"/>
              <w:right w:w="108" w:type="dxa"/>
            </w:tcMar>
            <w:hideMark/>
          </w:tcPr>
          <w:p w14:paraId="65B5D309" w14:textId="77777777" w:rsidR="006E5C07" w:rsidRPr="006E5C07" w:rsidRDefault="006E5C07" w:rsidP="006E5C07">
            <w:pPr>
              <w:spacing w:after="0" w:line="240" w:lineRule="auto"/>
              <w:rPr>
                <w:rFonts w:ascii="Calibri" w:eastAsia="Times New Roman" w:hAnsi="Calibri" w:cs="Calibri"/>
              </w:rPr>
            </w:pPr>
          </w:p>
        </w:tc>
        <w:tc>
          <w:tcPr>
            <w:tcW w:w="1485" w:type="dxa"/>
            <w:tcMar>
              <w:top w:w="0" w:type="dxa"/>
              <w:left w:w="108" w:type="dxa"/>
              <w:bottom w:w="0" w:type="dxa"/>
              <w:right w:w="108" w:type="dxa"/>
            </w:tcMar>
            <w:hideMark/>
          </w:tcPr>
          <w:p w14:paraId="0B6DE86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c>
          <w:tcPr>
            <w:tcW w:w="1911" w:type="dxa"/>
            <w:tcMar>
              <w:top w:w="0" w:type="dxa"/>
              <w:left w:w="108" w:type="dxa"/>
              <w:bottom w:w="0" w:type="dxa"/>
              <w:right w:w="108" w:type="dxa"/>
            </w:tcMar>
            <w:hideMark/>
          </w:tcPr>
          <w:p w14:paraId="127A3D2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r>
      <w:tr w:rsidR="006E5C07" w:rsidRPr="006E5C07" w14:paraId="6E14BC3D" w14:textId="77777777" w:rsidTr="006E5C07">
        <w:tc>
          <w:tcPr>
            <w:tcW w:w="4887" w:type="dxa"/>
            <w:tcMar>
              <w:top w:w="0" w:type="dxa"/>
              <w:left w:w="108" w:type="dxa"/>
              <w:bottom w:w="0" w:type="dxa"/>
              <w:right w:w="108" w:type="dxa"/>
            </w:tcMar>
            <w:hideMark/>
          </w:tcPr>
          <w:p w14:paraId="6CBC34DF" w14:textId="77777777" w:rsidR="006E5C07" w:rsidRPr="006E5C07" w:rsidRDefault="006E5C07" w:rsidP="006E5C07">
            <w:pPr>
              <w:spacing w:after="0" w:line="240" w:lineRule="auto"/>
              <w:rPr>
                <w:rFonts w:ascii="Calibri" w:eastAsia="Times New Roman" w:hAnsi="Calibri" w:cs="Calibri"/>
              </w:rPr>
            </w:pPr>
          </w:p>
        </w:tc>
        <w:tc>
          <w:tcPr>
            <w:tcW w:w="1485" w:type="dxa"/>
            <w:tcMar>
              <w:top w:w="0" w:type="dxa"/>
              <w:left w:w="108" w:type="dxa"/>
              <w:bottom w:w="0" w:type="dxa"/>
              <w:right w:w="108" w:type="dxa"/>
            </w:tcMar>
            <w:hideMark/>
          </w:tcPr>
          <w:p w14:paraId="0B45531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December '20</w:t>
            </w:r>
          </w:p>
        </w:tc>
        <w:tc>
          <w:tcPr>
            <w:tcW w:w="1911" w:type="dxa"/>
            <w:tcMar>
              <w:top w:w="0" w:type="dxa"/>
              <w:left w:w="108" w:type="dxa"/>
              <w:bottom w:w="0" w:type="dxa"/>
              <w:right w:w="108" w:type="dxa"/>
            </w:tcMar>
            <w:hideMark/>
          </w:tcPr>
          <w:p w14:paraId="7D923C0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December '19</w:t>
            </w:r>
          </w:p>
        </w:tc>
      </w:tr>
      <w:tr w:rsidR="006E5C07" w:rsidRPr="006E5C07" w14:paraId="5F638503" w14:textId="77777777" w:rsidTr="006E5C07">
        <w:tc>
          <w:tcPr>
            <w:tcW w:w="4887" w:type="dxa"/>
            <w:tcMar>
              <w:top w:w="0" w:type="dxa"/>
              <w:left w:w="108" w:type="dxa"/>
              <w:bottom w:w="0" w:type="dxa"/>
              <w:right w:w="108" w:type="dxa"/>
            </w:tcMar>
            <w:hideMark/>
          </w:tcPr>
          <w:p w14:paraId="2C867443" w14:textId="77777777" w:rsidR="006E5C07" w:rsidRPr="006E5C07" w:rsidRDefault="006E5C07" w:rsidP="006E5C07">
            <w:pPr>
              <w:spacing w:after="0" w:line="240" w:lineRule="auto"/>
              <w:rPr>
                <w:rFonts w:ascii="Calibri" w:eastAsia="Times New Roman" w:hAnsi="Calibri" w:cs="Calibri"/>
              </w:rPr>
            </w:pPr>
          </w:p>
        </w:tc>
        <w:tc>
          <w:tcPr>
            <w:tcW w:w="1485" w:type="dxa"/>
            <w:tcMar>
              <w:top w:w="0" w:type="dxa"/>
              <w:left w:w="108" w:type="dxa"/>
              <w:bottom w:w="0" w:type="dxa"/>
              <w:right w:w="108" w:type="dxa"/>
            </w:tcMar>
            <w:hideMark/>
          </w:tcPr>
          <w:p w14:paraId="3D26EAC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1911" w:type="dxa"/>
            <w:tcMar>
              <w:top w:w="0" w:type="dxa"/>
              <w:left w:w="108" w:type="dxa"/>
              <w:bottom w:w="0" w:type="dxa"/>
              <w:right w:w="108" w:type="dxa"/>
            </w:tcMar>
            <w:hideMark/>
          </w:tcPr>
          <w:p w14:paraId="190AD11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p w14:paraId="4F03C9D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tc>
      </w:tr>
      <w:tr w:rsidR="006E5C07" w:rsidRPr="006E5C07" w14:paraId="351BE53E" w14:textId="77777777" w:rsidTr="006E5C07">
        <w:tc>
          <w:tcPr>
            <w:tcW w:w="4887" w:type="dxa"/>
            <w:tcMar>
              <w:top w:w="0" w:type="dxa"/>
              <w:left w:w="108" w:type="dxa"/>
              <w:bottom w:w="0" w:type="dxa"/>
              <w:right w:w="108" w:type="dxa"/>
            </w:tcMar>
            <w:hideMark/>
          </w:tcPr>
          <w:p w14:paraId="07F2B59C"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Revenue</w:t>
            </w:r>
          </w:p>
          <w:p w14:paraId="052DDC45"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Administrative expenses </w:t>
            </w:r>
            <w:r w:rsidRPr="006E5C07">
              <w:rPr>
                <w:rFonts w:ascii="Gill Sans MT" w:eastAsia="Times New Roman" w:hAnsi="Gill Sans MT" w:cs="Calibri"/>
                <w:sz w:val="14"/>
                <w:szCs w:val="14"/>
                <w:vertAlign w:val="superscript"/>
              </w:rPr>
              <w:t>1</w:t>
            </w:r>
          </w:p>
        </w:tc>
        <w:tc>
          <w:tcPr>
            <w:tcW w:w="1485" w:type="dxa"/>
            <w:tcMar>
              <w:top w:w="0" w:type="dxa"/>
              <w:left w:w="108" w:type="dxa"/>
              <w:bottom w:w="0" w:type="dxa"/>
              <w:right w:w="108" w:type="dxa"/>
            </w:tcMar>
            <w:hideMark/>
          </w:tcPr>
          <w:p w14:paraId="4B67F83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p w14:paraId="6EA9415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(518)</w:t>
            </w:r>
          </w:p>
        </w:tc>
        <w:tc>
          <w:tcPr>
            <w:tcW w:w="1911" w:type="dxa"/>
            <w:tcMar>
              <w:top w:w="0" w:type="dxa"/>
              <w:left w:w="108" w:type="dxa"/>
              <w:bottom w:w="0" w:type="dxa"/>
              <w:right w:w="108" w:type="dxa"/>
            </w:tcMar>
            <w:hideMark/>
          </w:tcPr>
          <w:p w14:paraId="6E3BD89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72</w:t>
            </w:r>
          </w:p>
          <w:p w14:paraId="08F188D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(117)</w:t>
            </w:r>
          </w:p>
        </w:tc>
      </w:tr>
      <w:tr w:rsidR="006E5C07" w:rsidRPr="006E5C07" w14:paraId="04C7F3AD" w14:textId="77777777" w:rsidTr="006E5C07">
        <w:tc>
          <w:tcPr>
            <w:tcW w:w="4887" w:type="dxa"/>
            <w:tcMar>
              <w:top w:w="0" w:type="dxa"/>
              <w:left w:w="108" w:type="dxa"/>
              <w:bottom w:w="0" w:type="dxa"/>
              <w:right w:w="108" w:type="dxa"/>
            </w:tcMar>
            <w:hideMark/>
          </w:tcPr>
          <w:p w14:paraId="0A365165"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Finance income</w:t>
            </w:r>
          </w:p>
        </w:tc>
        <w:tc>
          <w:tcPr>
            <w:tcW w:w="1485" w:type="dxa"/>
            <w:tcMar>
              <w:top w:w="0" w:type="dxa"/>
              <w:left w:w="108" w:type="dxa"/>
              <w:bottom w:w="0" w:type="dxa"/>
              <w:right w:w="108" w:type="dxa"/>
            </w:tcMar>
            <w:hideMark/>
          </w:tcPr>
          <w:p w14:paraId="60DD494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w:t>
            </w:r>
          </w:p>
        </w:tc>
        <w:tc>
          <w:tcPr>
            <w:tcW w:w="1911" w:type="dxa"/>
            <w:tcMar>
              <w:top w:w="0" w:type="dxa"/>
              <w:left w:w="108" w:type="dxa"/>
              <w:bottom w:w="0" w:type="dxa"/>
              <w:right w:w="108" w:type="dxa"/>
            </w:tcMar>
            <w:hideMark/>
          </w:tcPr>
          <w:p w14:paraId="24524FB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w:t>
            </w:r>
          </w:p>
        </w:tc>
      </w:tr>
      <w:tr w:rsidR="006E5C07" w:rsidRPr="006E5C07" w14:paraId="7DFE141B" w14:textId="77777777" w:rsidTr="006E5C07">
        <w:tc>
          <w:tcPr>
            <w:tcW w:w="4887" w:type="dxa"/>
            <w:tcMar>
              <w:top w:w="0" w:type="dxa"/>
              <w:left w:w="108" w:type="dxa"/>
              <w:bottom w:w="0" w:type="dxa"/>
              <w:right w:w="108" w:type="dxa"/>
            </w:tcMar>
            <w:hideMark/>
          </w:tcPr>
          <w:p w14:paraId="05DBD412" w14:textId="77777777" w:rsidR="006E5C07" w:rsidRPr="006E5C07" w:rsidRDefault="006E5C07" w:rsidP="006E5C07">
            <w:pPr>
              <w:spacing w:after="0" w:line="240" w:lineRule="auto"/>
              <w:rPr>
                <w:rFonts w:ascii="Calibri" w:eastAsia="Times New Roman" w:hAnsi="Calibri" w:cs="Calibri"/>
              </w:rPr>
            </w:pPr>
          </w:p>
        </w:tc>
        <w:tc>
          <w:tcPr>
            <w:tcW w:w="1485" w:type="dxa"/>
            <w:tcMar>
              <w:top w:w="0" w:type="dxa"/>
              <w:left w:w="108" w:type="dxa"/>
              <w:bottom w:w="0" w:type="dxa"/>
              <w:right w:w="108" w:type="dxa"/>
            </w:tcMar>
            <w:hideMark/>
          </w:tcPr>
          <w:p w14:paraId="5D636E0F" w14:textId="77777777" w:rsidR="006E5C07" w:rsidRPr="006E5C07" w:rsidRDefault="006E5C07" w:rsidP="006E5C07">
            <w:pPr>
              <w:spacing w:after="0" w:line="240" w:lineRule="auto"/>
              <w:jc w:val="right"/>
              <w:rPr>
                <w:rFonts w:ascii="Calibri" w:eastAsia="Times New Roman" w:hAnsi="Calibri" w:cs="Calibri"/>
              </w:rPr>
            </w:pPr>
          </w:p>
        </w:tc>
        <w:tc>
          <w:tcPr>
            <w:tcW w:w="1911" w:type="dxa"/>
            <w:tcMar>
              <w:top w:w="0" w:type="dxa"/>
              <w:left w:w="108" w:type="dxa"/>
              <w:bottom w:w="0" w:type="dxa"/>
              <w:right w:w="108" w:type="dxa"/>
            </w:tcMar>
            <w:hideMark/>
          </w:tcPr>
          <w:p w14:paraId="4A822624"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27ACFEC3" w14:textId="77777777" w:rsidTr="006E5C07">
        <w:tc>
          <w:tcPr>
            <w:tcW w:w="4887" w:type="dxa"/>
            <w:tcMar>
              <w:top w:w="0" w:type="dxa"/>
              <w:left w:w="108" w:type="dxa"/>
              <w:bottom w:w="0" w:type="dxa"/>
              <w:right w:w="108" w:type="dxa"/>
            </w:tcMar>
            <w:hideMark/>
          </w:tcPr>
          <w:p w14:paraId="175658A1"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Loss from discontinued operation</w:t>
            </w:r>
          </w:p>
        </w:tc>
        <w:tc>
          <w:tcPr>
            <w:tcW w:w="1485" w:type="dxa"/>
            <w:tcBorders>
              <w:top w:val="single" w:sz="8" w:space="0" w:color="auto"/>
              <w:left w:val="nil"/>
              <w:bottom w:val="single" w:sz="8" w:space="0" w:color="auto"/>
              <w:right w:val="nil"/>
            </w:tcBorders>
            <w:tcMar>
              <w:top w:w="0" w:type="dxa"/>
              <w:left w:w="108" w:type="dxa"/>
              <w:bottom w:w="0" w:type="dxa"/>
              <w:right w:w="108" w:type="dxa"/>
            </w:tcMar>
            <w:hideMark/>
          </w:tcPr>
          <w:p w14:paraId="6692E609"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(512)</w:t>
            </w:r>
          </w:p>
        </w:tc>
        <w:tc>
          <w:tcPr>
            <w:tcW w:w="1911" w:type="dxa"/>
            <w:tcBorders>
              <w:top w:val="single" w:sz="8" w:space="0" w:color="auto"/>
              <w:left w:val="nil"/>
              <w:bottom w:val="single" w:sz="8" w:space="0" w:color="auto"/>
              <w:right w:val="nil"/>
            </w:tcBorders>
            <w:tcMar>
              <w:top w:w="0" w:type="dxa"/>
              <w:left w:w="108" w:type="dxa"/>
              <w:bottom w:w="0" w:type="dxa"/>
              <w:right w:w="108" w:type="dxa"/>
            </w:tcMar>
            <w:hideMark/>
          </w:tcPr>
          <w:p w14:paraId="2C8FE766"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(41)</w:t>
            </w:r>
          </w:p>
        </w:tc>
      </w:tr>
    </w:tbl>
    <w:p w14:paraId="32B635FD"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1341F8C4"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vertAlign w:val="superscript"/>
        </w:rPr>
        <w:t>1 </w:t>
      </w:r>
      <w:r w:rsidRPr="006E5C07">
        <w:rPr>
          <w:rFonts w:ascii="Gill Sans MT" w:eastAsia="Times New Roman" w:hAnsi="Gill Sans MT" w:cs="Calibri"/>
          <w:color w:val="16202C"/>
          <w:sz w:val="18"/>
          <w:szCs w:val="18"/>
        </w:rPr>
        <w:t>Includes £497k provision against recoverability of trade debtors in 2020.</w:t>
      </w:r>
    </w:p>
    <w:p w14:paraId="64F1201D"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1169D91F" w14:textId="77777777" w:rsidR="006E5C07" w:rsidRPr="006E5C07" w:rsidRDefault="006E5C07" w:rsidP="006E5C07">
      <w:pPr>
        <w:spacing w:line="240" w:lineRule="auto"/>
        <w:ind w:left="873"/>
        <w:rPr>
          <w:rFonts w:ascii="Calibri" w:eastAsia="Times New Roman" w:hAnsi="Calibri" w:cs="Calibri"/>
          <w:color w:val="16202C"/>
        </w:rPr>
      </w:pPr>
      <w:r w:rsidRPr="006E5C07">
        <w:rPr>
          <w:rFonts w:ascii="Gill Sans MT" w:eastAsia="Times New Roman" w:hAnsi="Gill Sans MT" w:cs="Calibri"/>
          <w:b/>
          <w:bCs/>
          <w:color w:val="16202C"/>
          <w:sz w:val="18"/>
          <w:szCs w:val="18"/>
        </w:rPr>
        <w:t>13.       Dividends</w:t>
      </w:r>
    </w:p>
    <w:tbl>
      <w:tblPr>
        <w:tblW w:w="0" w:type="auto"/>
        <w:tblInd w:w="-108" w:type="dxa"/>
        <w:tblCellMar>
          <w:left w:w="0" w:type="dxa"/>
          <w:right w:w="0" w:type="dxa"/>
        </w:tblCellMar>
        <w:tblLook w:val="04A0" w:firstRow="1" w:lastRow="0" w:firstColumn="1" w:lastColumn="0" w:noHBand="0" w:noVBand="1"/>
      </w:tblPr>
      <w:tblGrid>
        <w:gridCol w:w="4444"/>
        <w:gridCol w:w="1869"/>
        <w:gridCol w:w="2065"/>
      </w:tblGrid>
      <w:tr w:rsidR="006E5C07" w:rsidRPr="006E5C07" w14:paraId="3BE96648" w14:textId="77777777" w:rsidTr="006E5C07">
        <w:tc>
          <w:tcPr>
            <w:tcW w:w="4444" w:type="dxa"/>
            <w:tcMar>
              <w:top w:w="0" w:type="dxa"/>
              <w:left w:w="108" w:type="dxa"/>
              <w:bottom w:w="0" w:type="dxa"/>
              <w:right w:w="108" w:type="dxa"/>
            </w:tcMar>
            <w:hideMark/>
          </w:tcPr>
          <w:p w14:paraId="24BB32E9" w14:textId="77777777" w:rsidR="006E5C07" w:rsidRPr="006E5C07" w:rsidRDefault="006E5C07" w:rsidP="006E5C07">
            <w:pPr>
              <w:spacing w:after="0" w:line="240" w:lineRule="auto"/>
              <w:rPr>
                <w:rFonts w:ascii="Calibri" w:eastAsia="Times New Roman" w:hAnsi="Calibri" w:cs="Calibri"/>
              </w:rPr>
            </w:pPr>
          </w:p>
        </w:tc>
        <w:tc>
          <w:tcPr>
            <w:tcW w:w="1869" w:type="dxa"/>
            <w:tcMar>
              <w:top w:w="0" w:type="dxa"/>
              <w:left w:w="108" w:type="dxa"/>
              <w:bottom w:w="0" w:type="dxa"/>
              <w:right w:w="108" w:type="dxa"/>
            </w:tcMar>
            <w:hideMark/>
          </w:tcPr>
          <w:p w14:paraId="3C9CD46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c>
          <w:tcPr>
            <w:tcW w:w="2065" w:type="dxa"/>
            <w:tcMar>
              <w:top w:w="0" w:type="dxa"/>
              <w:left w:w="108" w:type="dxa"/>
              <w:bottom w:w="0" w:type="dxa"/>
              <w:right w:w="108" w:type="dxa"/>
            </w:tcMar>
            <w:hideMark/>
          </w:tcPr>
          <w:p w14:paraId="678D89B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r>
      <w:tr w:rsidR="006E5C07" w:rsidRPr="006E5C07" w14:paraId="7F21DCC0" w14:textId="77777777" w:rsidTr="006E5C07">
        <w:tc>
          <w:tcPr>
            <w:tcW w:w="4444" w:type="dxa"/>
            <w:tcMar>
              <w:top w:w="0" w:type="dxa"/>
              <w:left w:w="108" w:type="dxa"/>
              <w:bottom w:w="0" w:type="dxa"/>
              <w:right w:w="108" w:type="dxa"/>
            </w:tcMar>
            <w:hideMark/>
          </w:tcPr>
          <w:p w14:paraId="0405BD77" w14:textId="77777777" w:rsidR="006E5C07" w:rsidRPr="006E5C07" w:rsidRDefault="006E5C07" w:rsidP="006E5C07">
            <w:pPr>
              <w:spacing w:after="0" w:line="240" w:lineRule="auto"/>
              <w:rPr>
                <w:rFonts w:ascii="Calibri" w:eastAsia="Times New Roman" w:hAnsi="Calibri" w:cs="Calibri"/>
              </w:rPr>
            </w:pPr>
          </w:p>
        </w:tc>
        <w:tc>
          <w:tcPr>
            <w:tcW w:w="1869" w:type="dxa"/>
            <w:tcMar>
              <w:top w:w="0" w:type="dxa"/>
              <w:left w:w="108" w:type="dxa"/>
              <w:bottom w:w="0" w:type="dxa"/>
              <w:right w:w="108" w:type="dxa"/>
            </w:tcMar>
            <w:hideMark/>
          </w:tcPr>
          <w:p w14:paraId="6B42218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December '20</w:t>
            </w:r>
          </w:p>
        </w:tc>
        <w:tc>
          <w:tcPr>
            <w:tcW w:w="2065" w:type="dxa"/>
            <w:tcMar>
              <w:top w:w="0" w:type="dxa"/>
              <w:left w:w="108" w:type="dxa"/>
              <w:bottom w:w="0" w:type="dxa"/>
              <w:right w:w="108" w:type="dxa"/>
            </w:tcMar>
            <w:hideMark/>
          </w:tcPr>
          <w:p w14:paraId="630CDA5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December '19</w:t>
            </w:r>
          </w:p>
        </w:tc>
      </w:tr>
      <w:tr w:rsidR="006E5C07" w:rsidRPr="006E5C07" w14:paraId="0D025415" w14:textId="77777777" w:rsidTr="006E5C07">
        <w:tc>
          <w:tcPr>
            <w:tcW w:w="4444" w:type="dxa"/>
            <w:tcMar>
              <w:top w:w="0" w:type="dxa"/>
              <w:left w:w="108" w:type="dxa"/>
              <w:bottom w:w="0" w:type="dxa"/>
              <w:right w:w="108" w:type="dxa"/>
            </w:tcMar>
            <w:hideMark/>
          </w:tcPr>
          <w:p w14:paraId="511EB014" w14:textId="77777777" w:rsidR="006E5C07" w:rsidRPr="006E5C07" w:rsidRDefault="006E5C07" w:rsidP="006E5C07">
            <w:pPr>
              <w:spacing w:after="0" w:line="240" w:lineRule="auto"/>
              <w:rPr>
                <w:rFonts w:ascii="Calibri" w:eastAsia="Times New Roman" w:hAnsi="Calibri" w:cs="Calibri"/>
              </w:rPr>
            </w:pPr>
          </w:p>
        </w:tc>
        <w:tc>
          <w:tcPr>
            <w:tcW w:w="1869" w:type="dxa"/>
            <w:tcMar>
              <w:top w:w="0" w:type="dxa"/>
              <w:left w:w="108" w:type="dxa"/>
              <w:bottom w:w="0" w:type="dxa"/>
              <w:right w:w="108" w:type="dxa"/>
            </w:tcMar>
            <w:hideMark/>
          </w:tcPr>
          <w:p w14:paraId="2155D2B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2065" w:type="dxa"/>
            <w:tcMar>
              <w:top w:w="0" w:type="dxa"/>
              <w:left w:w="108" w:type="dxa"/>
              <w:bottom w:w="0" w:type="dxa"/>
              <w:right w:w="108" w:type="dxa"/>
            </w:tcMar>
            <w:hideMark/>
          </w:tcPr>
          <w:p w14:paraId="7480D1E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2D4CFFDB" w14:textId="77777777" w:rsidTr="006E5C07">
        <w:tc>
          <w:tcPr>
            <w:tcW w:w="4444" w:type="dxa"/>
            <w:tcMar>
              <w:top w:w="0" w:type="dxa"/>
              <w:left w:w="108" w:type="dxa"/>
              <w:bottom w:w="0" w:type="dxa"/>
              <w:right w:w="108" w:type="dxa"/>
            </w:tcMar>
            <w:hideMark/>
          </w:tcPr>
          <w:p w14:paraId="2D605B28" w14:textId="77777777" w:rsidR="006E5C07" w:rsidRPr="006E5C07" w:rsidRDefault="006E5C07" w:rsidP="006E5C07">
            <w:pPr>
              <w:spacing w:after="0" w:line="240" w:lineRule="auto"/>
              <w:rPr>
                <w:rFonts w:ascii="Calibri" w:eastAsia="Times New Roman" w:hAnsi="Calibri" w:cs="Calibri"/>
              </w:rPr>
            </w:pPr>
          </w:p>
        </w:tc>
        <w:tc>
          <w:tcPr>
            <w:tcW w:w="1869" w:type="dxa"/>
            <w:tcMar>
              <w:top w:w="0" w:type="dxa"/>
              <w:left w:w="108" w:type="dxa"/>
              <w:bottom w:w="0" w:type="dxa"/>
              <w:right w:w="108" w:type="dxa"/>
            </w:tcMar>
            <w:hideMark/>
          </w:tcPr>
          <w:p w14:paraId="6495E9D7" w14:textId="77777777" w:rsidR="006E5C07" w:rsidRPr="006E5C07" w:rsidRDefault="006E5C07" w:rsidP="006E5C07">
            <w:pPr>
              <w:spacing w:after="0" w:line="240" w:lineRule="auto"/>
              <w:jc w:val="right"/>
              <w:rPr>
                <w:rFonts w:ascii="Calibri" w:eastAsia="Times New Roman" w:hAnsi="Calibri" w:cs="Calibri"/>
              </w:rPr>
            </w:pPr>
          </w:p>
        </w:tc>
        <w:tc>
          <w:tcPr>
            <w:tcW w:w="2065" w:type="dxa"/>
            <w:tcMar>
              <w:top w:w="0" w:type="dxa"/>
              <w:left w:w="108" w:type="dxa"/>
              <w:bottom w:w="0" w:type="dxa"/>
              <w:right w:w="108" w:type="dxa"/>
            </w:tcMar>
            <w:hideMark/>
          </w:tcPr>
          <w:p w14:paraId="6638D4EA"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107B95B3" w14:textId="77777777" w:rsidTr="006E5C07">
        <w:tc>
          <w:tcPr>
            <w:tcW w:w="4444" w:type="dxa"/>
            <w:tcMar>
              <w:top w:w="0" w:type="dxa"/>
              <w:left w:w="108" w:type="dxa"/>
              <w:bottom w:w="0" w:type="dxa"/>
              <w:right w:w="108" w:type="dxa"/>
            </w:tcMar>
            <w:hideMark/>
          </w:tcPr>
          <w:p w14:paraId="7E004F25"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Paid during the period</w:t>
            </w:r>
          </w:p>
        </w:tc>
        <w:tc>
          <w:tcPr>
            <w:tcW w:w="1869" w:type="dxa"/>
            <w:tcMar>
              <w:top w:w="0" w:type="dxa"/>
              <w:left w:w="108" w:type="dxa"/>
              <w:bottom w:w="0" w:type="dxa"/>
              <w:right w:w="108" w:type="dxa"/>
            </w:tcMar>
            <w:hideMark/>
          </w:tcPr>
          <w:p w14:paraId="6CE92F6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2065" w:type="dxa"/>
            <w:tcMar>
              <w:top w:w="0" w:type="dxa"/>
              <w:left w:w="108" w:type="dxa"/>
              <w:bottom w:w="0" w:type="dxa"/>
              <w:right w:w="108" w:type="dxa"/>
            </w:tcMar>
            <w:hideMark/>
          </w:tcPr>
          <w:p w14:paraId="48CD8BD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98</w:t>
            </w:r>
          </w:p>
        </w:tc>
      </w:tr>
      <w:tr w:rsidR="006E5C07" w:rsidRPr="006E5C07" w14:paraId="46688E3E" w14:textId="77777777" w:rsidTr="006E5C07">
        <w:tc>
          <w:tcPr>
            <w:tcW w:w="4444" w:type="dxa"/>
            <w:tcMar>
              <w:top w:w="0" w:type="dxa"/>
              <w:left w:w="108" w:type="dxa"/>
              <w:bottom w:w="0" w:type="dxa"/>
              <w:right w:w="108" w:type="dxa"/>
            </w:tcMar>
            <w:hideMark/>
          </w:tcPr>
          <w:p w14:paraId="702AA387"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Recommended final dividend</w:t>
            </w:r>
          </w:p>
        </w:tc>
        <w:tc>
          <w:tcPr>
            <w:tcW w:w="1869" w:type="dxa"/>
            <w:tcMar>
              <w:top w:w="0" w:type="dxa"/>
              <w:left w:w="108" w:type="dxa"/>
              <w:bottom w:w="0" w:type="dxa"/>
              <w:right w:w="108" w:type="dxa"/>
            </w:tcMar>
            <w:hideMark/>
          </w:tcPr>
          <w:p w14:paraId="2ED0786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2065" w:type="dxa"/>
            <w:tcMar>
              <w:top w:w="0" w:type="dxa"/>
              <w:left w:w="108" w:type="dxa"/>
              <w:bottom w:w="0" w:type="dxa"/>
              <w:right w:w="108" w:type="dxa"/>
            </w:tcMar>
            <w:hideMark/>
          </w:tcPr>
          <w:p w14:paraId="0EA7620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r>
    </w:tbl>
    <w:p w14:paraId="3425C959"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28AA3998"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Equity - The Directors do not recommend a final dividend for 2020 (2019: £nil).</w:t>
      </w:r>
    </w:p>
    <w:p w14:paraId="25704307" w14:textId="77777777" w:rsidR="006E5C07" w:rsidRPr="006E5C07" w:rsidRDefault="006E5C07" w:rsidP="006E5C07">
      <w:pPr>
        <w:spacing w:after="0" w:line="240" w:lineRule="auto"/>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5EC82FF8" w14:textId="77777777" w:rsidR="006E5C07" w:rsidRPr="006E5C07" w:rsidRDefault="006E5C07" w:rsidP="006E5C07">
      <w:pPr>
        <w:spacing w:line="253" w:lineRule="atLeast"/>
        <w:ind w:hanging="567"/>
        <w:rPr>
          <w:rFonts w:ascii="Calibri" w:eastAsia="Times New Roman" w:hAnsi="Calibri" w:cs="Calibri"/>
          <w:color w:val="16202C"/>
        </w:rPr>
      </w:pPr>
      <w:r w:rsidRPr="006E5C07">
        <w:rPr>
          <w:rFonts w:ascii="Gill Sans MT" w:eastAsia="Times New Roman" w:hAnsi="Gill Sans MT" w:cs="Calibri"/>
          <w:b/>
          <w:bCs/>
          <w:color w:val="16202C"/>
          <w:sz w:val="18"/>
          <w:szCs w:val="18"/>
        </w:rPr>
        <w:t>14.       Goodwill</w:t>
      </w:r>
    </w:p>
    <w:tbl>
      <w:tblPr>
        <w:tblW w:w="0" w:type="auto"/>
        <w:tblInd w:w="-108" w:type="dxa"/>
        <w:tblCellMar>
          <w:left w:w="0" w:type="dxa"/>
          <w:right w:w="0" w:type="dxa"/>
        </w:tblCellMar>
        <w:tblLook w:val="04A0" w:firstRow="1" w:lastRow="0" w:firstColumn="1" w:lastColumn="0" w:noHBand="0" w:noVBand="1"/>
      </w:tblPr>
      <w:tblGrid>
        <w:gridCol w:w="6305"/>
        <w:gridCol w:w="1202"/>
      </w:tblGrid>
      <w:tr w:rsidR="006E5C07" w:rsidRPr="006E5C07" w14:paraId="0174EA39" w14:textId="77777777" w:rsidTr="006E5C07">
        <w:tc>
          <w:tcPr>
            <w:tcW w:w="6305" w:type="dxa"/>
            <w:tcMar>
              <w:top w:w="0" w:type="dxa"/>
              <w:left w:w="108" w:type="dxa"/>
              <w:bottom w:w="0" w:type="dxa"/>
              <w:right w:w="108" w:type="dxa"/>
            </w:tcMar>
            <w:hideMark/>
          </w:tcPr>
          <w:p w14:paraId="40E5216C"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Cost</w:t>
            </w:r>
          </w:p>
        </w:tc>
        <w:tc>
          <w:tcPr>
            <w:tcW w:w="1202" w:type="dxa"/>
            <w:tcMar>
              <w:top w:w="0" w:type="dxa"/>
              <w:left w:w="108" w:type="dxa"/>
              <w:bottom w:w="0" w:type="dxa"/>
              <w:right w:w="108" w:type="dxa"/>
            </w:tcMar>
            <w:hideMark/>
          </w:tcPr>
          <w:p w14:paraId="31400E6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0BA856C9" w14:textId="77777777" w:rsidTr="006E5C07">
        <w:tc>
          <w:tcPr>
            <w:tcW w:w="6305" w:type="dxa"/>
            <w:tcMar>
              <w:top w:w="0" w:type="dxa"/>
              <w:left w:w="108" w:type="dxa"/>
              <w:bottom w:w="0" w:type="dxa"/>
              <w:right w:w="108" w:type="dxa"/>
            </w:tcMar>
            <w:hideMark/>
          </w:tcPr>
          <w:p w14:paraId="7D4A42A7" w14:textId="77777777" w:rsidR="006E5C07" w:rsidRPr="006E5C07" w:rsidRDefault="006E5C07" w:rsidP="006E5C07">
            <w:pPr>
              <w:spacing w:after="0" w:line="240" w:lineRule="auto"/>
              <w:rPr>
                <w:rFonts w:ascii="Calibri" w:eastAsia="Times New Roman" w:hAnsi="Calibri" w:cs="Calibri"/>
                <w:b/>
                <w:bCs/>
              </w:rPr>
            </w:pPr>
          </w:p>
        </w:tc>
        <w:tc>
          <w:tcPr>
            <w:tcW w:w="1202" w:type="dxa"/>
            <w:tcMar>
              <w:top w:w="0" w:type="dxa"/>
              <w:left w:w="108" w:type="dxa"/>
              <w:bottom w:w="0" w:type="dxa"/>
              <w:right w:w="108" w:type="dxa"/>
            </w:tcMar>
            <w:hideMark/>
          </w:tcPr>
          <w:p w14:paraId="24EBF87B"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459113DC" w14:textId="77777777" w:rsidTr="006E5C07">
        <w:tc>
          <w:tcPr>
            <w:tcW w:w="6305" w:type="dxa"/>
            <w:tcMar>
              <w:top w:w="0" w:type="dxa"/>
              <w:left w:w="108" w:type="dxa"/>
              <w:bottom w:w="0" w:type="dxa"/>
              <w:right w:w="108" w:type="dxa"/>
            </w:tcMar>
            <w:hideMark/>
          </w:tcPr>
          <w:p w14:paraId="5416172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31 December 2018</w:t>
            </w:r>
          </w:p>
        </w:tc>
        <w:tc>
          <w:tcPr>
            <w:tcW w:w="1202" w:type="dxa"/>
            <w:tcMar>
              <w:top w:w="0" w:type="dxa"/>
              <w:left w:w="108" w:type="dxa"/>
              <w:bottom w:w="0" w:type="dxa"/>
              <w:right w:w="108" w:type="dxa"/>
            </w:tcMar>
            <w:hideMark/>
          </w:tcPr>
          <w:p w14:paraId="6E837E4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8,225</w:t>
            </w:r>
          </w:p>
        </w:tc>
      </w:tr>
      <w:tr w:rsidR="006E5C07" w:rsidRPr="006E5C07" w14:paraId="67529508" w14:textId="77777777" w:rsidTr="006E5C07">
        <w:tc>
          <w:tcPr>
            <w:tcW w:w="6305" w:type="dxa"/>
            <w:tcMar>
              <w:top w:w="0" w:type="dxa"/>
              <w:left w:w="108" w:type="dxa"/>
              <w:bottom w:w="0" w:type="dxa"/>
              <w:right w:w="108" w:type="dxa"/>
            </w:tcMar>
            <w:hideMark/>
          </w:tcPr>
          <w:p w14:paraId="69B3A846"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Additions</w:t>
            </w:r>
          </w:p>
        </w:tc>
        <w:tc>
          <w:tcPr>
            <w:tcW w:w="1202" w:type="dxa"/>
            <w:tcBorders>
              <w:top w:val="nil"/>
              <w:left w:val="nil"/>
              <w:bottom w:val="single" w:sz="8" w:space="0" w:color="auto"/>
              <w:right w:val="nil"/>
            </w:tcBorders>
            <w:tcMar>
              <w:top w:w="0" w:type="dxa"/>
              <w:left w:w="108" w:type="dxa"/>
              <w:bottom w:w="0" w:type="dxa"/>
              <w:right w:w="108" w:type="dxa"/>
            </w:tcMar>
            <w:hideMark/>
          </w:tcPr>
          <w:p w14:paraId="2C4B7EF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r>
      <w:tr w:rsidR="006E5C07" w:rsidRPr="006E5C07" w14:paraId="1415B61E" w14:textId="77777777" w:rsidTr="006E5C07">
        <w:tc>
          <w:tcPr>
            <w:tcW w:w="6305" w:type="dxa"/>
            <w:tcMar>
              <w:top w:w="0" w:type="dxa"/>
              <w:left w:w="108" w:type="dxa"/>
              <w:bottom w:w="0" w:type="dxa"/>
              <w:right w:w="108" w:type="dxa"/>
            </w:tcMar>
            <w:hideMark/>
          </w:tcPr>
          <w:p w14:paraId="662C42CC"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lastRenderedPageBreak/>
              <w:t>At 31 December 2019</w:t>
            </w:r>
          </w:p>
        </w:tc>
        <w:tc>
          <w:tcPr>
            <w:tcW w:w="1202" w:type="dxa"/>
            <w:tcBorders>
              <w:top w:val="nil"/>
              <w:left w:val="nil"/>
              <w:bottom w:val="nil"/>
              <w:right w:val="nil"/>
            </w:tcBorders>
            <w:tcMar>
              <w:top w:w="0" w:type="dxa"/>
              <w:left w:w="108" w:type="dxa"/>
              <w:bottom w:w="0" w:type="dxa"/>
              <w:right w:w="108" w:type="dxa"/>
            </w:tcMar>
            <w:hideMark/>
          </w:tcPr>
          <w:p w14:paraId="4B0B85B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8,225</w:t>
            </w:r>
          </w:p>
        </w:tc>
      </w:tr>
      <w:tr w:rsidR="006E5C07" w:rsidRPr="006E5C07" w14:paraId="74EC0389" w14:textId="77777777" w:rsidTr="006E5C07">
        <w:tc>
          <w:tcPr>
            <w:tcW w:w="6305" w:type="dxa"/>
            <w:tcMar>
              <w:top w:w="0" w:type="dxa"/>
              <w:left w:w="108" w:type="dxa"/>
              <w:bottom w:w="0" w:type="dxa"/>
              <w:right w:w="108" w:type="dxa"/>
            </w:tcMar>
            <w:hideMark/>
          </w:tcPr>
          <w:p w14:paraId="1FF8614F"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Additions</w:t>
            </w:r>
          </w:p>
        </w:tc>
        <w:tc>
          <w:tcPr>
            <w:tcW w:w="1202" w:type="dxa"/>
            <w:tcBorders>
              <w:top w:val="nil"/>
              <w:left w:val="nil"/>
              <w:bottom w:val="single" w:sz="8" w:space="0" w:color="auto"/>
              <w:right w:val="nil"/>
            </w:tcBorders>
            <w:tcMar>
              <w:top w:w="0" w:type="dxa"/>
              <w:left w:w="108" w:type="dxa"/>
              <w:bottom w:w="0" w:type="dxa"/>
              <w:right w:w="108" w:type="dxa"/>
            </w:tcMar>
            <w:hideMark/>
          </w:tcPr>
          <w:p w14:paraId="16B9E75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r>
      <w:tr w:rsidR="006E5C07" w:rsidRPr="006E5C07" w14:paraId="3CD1AE7A" w14:textId="77777777" w:rsidTr="006E5C07">
        <w:tc>
          <w:tcPr>
            <w:tcW w:w="6305" w:type="dxa"/>
            <w:tcMar>
              <w:top w:w="0" w:type="dxa"/>
              <w:left w:w="108" w:type="dxa"/>
              <w:bottom w:w="0" w:type="dxa"/>
              <w:right w:w="108" w:type="dxa"/>
            </w:tcMar>
            <w:hideMark/>
          </w:tcPr>
          <w:p w14:paraId="1D509B4E"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31 December 2020</w:t>
            </w:r>
          </w:p>
        </w:tc>
        <w:tc>
          <w:tcPr>
            <w:tcW w:w="1202" w:type="dxa"/>
            <w:tcBorders>
              <w:top w:val="nil"/>
              <w:left w:val="nil"/>
              <w:bottom w:val="single" w:sz="8" w:space="0" w:color="auto"/>
              <w:right w:val="nil"/>
            </w:tcBorders>
            <w:tcMar>
              <w:top w:w="0" w:type="dxa"/>
              <w:left w:w="108" w:type="dxa"/>
              <w:bottom w:w="0" w:type="dxa"/>
              <w:right w:w="108" w:type="dxa"/>
            </w:tcMar>
            <w:hideMark/>
          </w:tcPr>
          <w:p w14:paraId="3862AE9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8,225</w:t>
            </w:r>
          </w:p>
        </w:tc>
      </w:tr>
    </w:tbl>
    <w:p w14:paraId="531F584F" w14:textId="77777777" w:rsidR="006E5C07" w:rsidRPr="006E5C07" w:rsidRDefault="006E5C07" w:rsidP="006E5C07">
      <w:pPr>
        <w:spacing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6305"/>
        <w:gridCol w:w="1202"/>
      </w:tblGrid>
      <w:tr w:rsidR="006E5C07" w:rsidRPr="006E5C07" w14:paraId="0F0D9CE2" w14:textId="77777777" w:rsidTr="006E5C07">
        <w:tc>
          <w:tcPr>
            <w:tcW w:w="6305" w:type="dxa"/>
            <w:tcMar>
              <w:top w:w="0" w:type="dxa"/>
              <w:left w:w="108" w:type="dxa"/>
              <w:bottom w:w="0" w:type="dxa"/>
              <w:right w:w="108" w:type="dxa"/>
            </w:tcMar>
            <w:hideMark/>
          </w:tcPr>
          <w:p w14:paraId="748BAE4E"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Accumulated impairment losses</w:t>
            </w:r>
          </w:p>
        </w:tc>
        <w:tc>
          <w:tcPr>
            <w:tcW w:w="1202" w:type="dxa"/>
            <w:tcMar>
              <w:top w:w="0" w:type="dxa"/>
              <w:left w:w="108" w:type="dxa"/>
              <w:bottom w:w="0" w:type="dxa"/>
              <w:right w:w="108" w:type="dxa"/>
            </w:tcMar>
            <w:hideMark/>
          </w:tcPr>
          <w:p w14:paraId="2DAADDD9"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3446C4C3" w14:textId="77777777" w:rsidTr="006E5C07">
        <w:tc>
          <w:tcPr>
            <w:tcW w:w="6305" w:type="dxa"/>
            <w:tcMar>
              <w:top w:w="0" w:type="dxa"/>
              <w:left w:w="108" w:type="dxa"/>
              <w:bottom w:w="0" w:type="dxa"/>
              <w:right w:w="108" w:type="dxa"/>
            </w:tcMar>
            <w:hideMark/>
          </w:tcPr>
          <w:p w14:paraId="184855C8"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31 December 2018</w:t>
            </w:r>
          </w:p>
        </w:tc>
        <w:tc>
          <w:tcPr>
            <w:tcW w:w="1202" w:type="dxa"/>
            <w:tcMar>
              <w:top w:w="0" w:type="dxa"/>
              <w:left w:w="108" w:type="dxa"/>
              <w:bottom w:w="0" w:type="dxa"/>
              <w:right w:w="108" w:type="dxa"/>
            </w:tcMar>
            <w:hideMark/>
          </w:tcPr>
          <w:p w14:paraId="2A0F9EA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244</w:t>
            </w:r>
          </w:p>
        </w:tc>
      </w:tr>
      <w:tr w:rsidR="006E5C07" w:rsidRPr="006E5C07" w14:paraId="2D1411CD" w14:textId="77777777" w:rsidTr="006E5C07">
        <w:tc>
          <w:tcPr>
            <w:tcW w:w="6305" w:type="dxa"/>
            <w:tcMar>
              <w:top w:w="0" w:type="dxa"/>
              <w:left w:w="108" w:type="dxa"/>
              <w:bottom w:w="0" w:type="dxa"/>
              <w:right w:w="108" w:type="dxa"/>
            </w:tcMar>
            <w:hideMark/>
          </w:tcPr>
          <w:p w14:paraId="19F740FD"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Charge for the period</w:t>
            </w:r>
          </w:p>
        </w:tc>
        <w:tc>
          <w:tcPr>
            <w:tcW w:w="1202" w:type="dxa"/>
            <w:tcBorders>
              <w:top w:val="nil"/>
              <w:left w:val="nil"/>
              <w:bottom w:val="single" w:sz="8" w:space="0" w:color="auto"/>
              <w:right w:val="nil"/>
            </w:tcBorders>
            <w:tcMar>
              <w:top w:w="0" w:type="dxa"/>
              <w:left w:w="108" w:type="dxa"/>
              <w:bottom w:w="0" w:type="dxa"/>
              <w:right w:w="108" w:type="dxa"/>
            </w:tcMar>
            <w:hideMark/>
          </w:tcPr>
          <w:p w14:paraId="3D84DCB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r>
      <w:tr w:rsidR="006E5C07" w:rsidRPr="006E5C07" w14:paraId="39184F47" w14:textId="77777777" w:rsidTr="006E5C07">
        <w:tc>
          <w:tcPr>
            <w:tcW w:w="6305" w:type="dxa"/>
            <w:tcMar>
              <w:top w:w="0" w:type="dxa"/>
              <w:left w:w="108" w:type="dxa"/>
              <w:bottom w:w="0" w:type="dxa"/>
              <w:right w:w="108" w:type="dxa"/>
            </w:tcMar>
            <w:hideMark/>
          </w:tcPr>
          <w:p w14:paraId="75FBBD96"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31 December 2019</w:t>
            </w:r>
          </w:p>
        </w:tc>
        <w:tc>
          <w:tcPr>
            <w:tcW w:w="1202" w:type="dxa"/>
            <w:tcBorders>
              <w:top w:val="nil"/>
              <w:left w:val="nil"/>
              <w:bottom w:val="nil"/>
              <w:right w:val="nil"/>
            </w:tcBorders>
            <w:tcMar>
              <w:top w:w="0" w:type="dxa"/>
              <w:left w:w="108" w:type="dxa"/>
              <w:bottom w:w="0" w:type="dxa"/>
              <w:right w:w="108" w:type="dxa"/>
            </w:tcMar>
            <w:hideMark/>
          </w:tcPr>
          <w:p w14:paraId="55A514B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244</w:t>
            </w:r>
          </w:p>
        </w:tc>
      </w:tr>
      <w:tr w:rsidR="006E5C07" w:rsidRPr="006E5C07" w14:paraId="52671F7F" w14:textId="77777777" w:rsidTr="006E5C07">
        <w:tc>
          <w:tcPr>
            <w:tcW w:w="6305" w:type="dxa"/>
            <w:tcMar>
              <w:top w:w="0" w:type="dxa"/>
              <w:left w:w="108" w:type="dxa"/>
              <w:bottom w:w="0" w:type="dxa"/>
              <w:right w:w="108" w:type="dxa"/>
            </w:tcMar>
            <w:hideMark/>
          </w:tcPr>
          <w:p w14:paraId="74A6235E"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Charge for the period</w:t>
            </w:r>
          </w:p>
        </w:tc>
        <w:tc>
          <w:tcPr>
            <w:tcW w:w="1202" w:type="dxa"/>
            <w:tcMar>
              <w:top w:w="0" w:type="dxa"/>
              <w:left w:w="108" w:type="dxa"/>
              <w:bottom w:w="0" w:type="dxa"/>
              <w:right w:w="108" w:type="dxa"/>
            </w:tcMar>
            <w:hideMark/>
          </w:tcPr>
          <w:p w14:paraId="24A7BF6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1,100</w:t>
            </w:r>
          </w:p>
        </w:tc>
      </w:tr>
      <w:tr w:rsidR="006E5C07" w:rsidRPr="006E5C07" w14:paraId="0BA200BF" w14:textId="77777777" w:rsidTr="006E5C07">
        <w:tc>
          <w:tcPr>
            <w:tcW w:w="6305" w:type="dxa"/>
            <w:tcMar>
              <w:top w:w="0" w:type="dxa"/>
              <w:left w:w="108" w:type="dxa"/>
              <w:bottom w:w="0" w:type="dxa"/>
              <w:right w:w="108" w:type="dxa"/>
            </w:tcMar>
            <w:hideMark/>
          </w:tcPr>
          <w:p w14:paraId="59302ABE"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31 December 2020</w:t>
            </w:r>
          </w:p>
        </w:tc>
        <w:tc>
          <w:tcPr>
            <w:tcW w:w="1202" w:type="dxa"/>
            <w:tcBorders>
              <w:top w:val="single" w:sz="8" w:space="0" w:color="auto"/>
              <w:left w:val="nil"/>
              <w:bottom w:val="single" w:sz="8" w:space="0" w:color="auto"/>
              <w:right w:val="nil"/>
            </w:tcBorders>
            <w:tcMar>
              <w:top w:w="0" w:type="dxa"/>
              <w:left w:w="108" w:type="dxa"/>
              <w:bottom w:w="0" w:type="dxa"/>
              <w:right w:w="108" w:type="dxa"/>
            </w:tcMar>
            <w:hideMark/>
          </w:tcPr>
          <w:p w14:paraId="27E4B289"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1,344</w:t>
            </w:r>
          </w:p>
        </w:tc>
      </w:tr>
    </w:tbl>
    <w:p w14:paraId="61036418" w14:textId="77777777" w:rsidR="006E5C07" w:rsidRPr="006E5C07" w:rsidRDefault="006E5C07" w:rsidP="006E5C07">
      <w:pPr>
        <w:spacing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6305"/>
        <w:gridCol w:w="1202"/>
      </w:tblGrid>
      <w:tr w:rsidR="006E5C07" w:rsidRPr="006E5C07" w14:paraId="72B1908D" w14:textId="77777777" w:rsidTr="006E5C07">
        <w:tc>
          <w:tcPr>
            <w:tcW w:w="6305" w:type="dxa"/>
            <w:tcMar>
              <w:top w:w="0" w:type="dxa"/>
              <w:left w:w="108" w:type="dxa"/>
              <w:bottom w:w="0" w:type="dxa"/>
              <w:right w:w="108" w:type="dxa"/>
            </w:tcMar>
            <w:hideMark/>
          </w:tcPr>
          <w:p w14:paraId="5A23DC36"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Net book value</w:t>
            </w:r>
          </w:p>
        </w:tc>
        <w:tc>
          <w:tcPr>
            <w:tcW w:w="1202" w:type="dxa"/>
            <w:tcMar>
              <w:top w:w="0" w:type="dxa"/>
              <w:left w:w="108" w:type="dxa"/>
              <w:bottom w:w="0" w:type="dxa"/>
              <w:right w:w="108" w:type="dxa"/>
            </w:tcMar>
            <w:hideMark/>
          </w:tcPr>
          <w:p w14:paraId="2CC3E83F"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15F2333A" w14:textId="77777777" w:rsidTr="006E5C07">
        <w:tc>
          <w:tcPr>
            <w:tcW w:w="6305" w:type="dxa"/>
            <w:tcMar>
              <w:top w:w="0" w:type="dxa"/>
              <w:left w:w="108" w:type="dxa"/>
              <w:bottom w:w="0" w:type="dxa"/>
              <w:right w:w="108" w:type="dxa"/>
            </w:tcMar>
            <w:hideMark/>
          </w:tcPr>
          <w:p w14:paraId="21035EFF"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31 December 2018</w:t>
            </w:r>
          </w:p>
        </w:tc>
        <w:tc>
          <w:tcPr>
            <w:tcW w:w="1202" w:type="dxa"/>
            <w:tcBorders>
              <w:top w:val="nil"/>
              <w:left w:val="nil"/>
              <w:bottom w:val="single" w:sz="8" w:space="0" w:color="auto"/>
              <w:right w:val="nil"/>
            </w:tcBorders>
            <w:tcMar>
              <w:top w:w="0" w:type="dxa"/>
              <w:left w:w="108" w:type="dxa"/>
              <w:bottom w:w="0" w:type="dxa"/>
              <w:right w:w="108" w:type="dxa"/>
            </w:tcMar>
            <w:hideMark/>
          </w:tcPr>
          <w:p w14:paraId="1960142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7,981</w:t>
            </w:r>
          </w:p>
        </w:tc>
      </w:tr>
      <w:tr w:rsidR="006E5C07" w:rsidRPr="006E5C07" w14:paraId="2E4A8F4D" w14:textId="77777777" w:rsidTr="006E5C07">
        <w:tc>
          <w:tcPr>
            <w:tcW w:w="6305" w:type="dxa"/>
            <w:tcMar>
              <w:top w:w="0" w:type="dxa"/>
              <w:left w:w="108" w:type="dxa"/>
              <w:bottom w:w="0" w:type="dxa"/>
              <w:right w:w="108" w:type="dxa"/>
            </w:tcMar>
            <w:hideMark/>
          </w:tcPr>
          <w:p w14:paraId="07A3F2BE"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31 December 2019</w:t>
            </w:r>
          </w:p>
        </w:tc>
        <w:tc>
          <w:tcPr>
            <w:tcW w:w="1202" w:type="dxa"/>
            <w:tcBorders>
              <w:top w:val="nil"/>
              <w:left w:val="nil"/>
              <w:bottom w:val="single" w:sz="8" w:space="0" w:color="auto"/>
              <w:right w:val="nil"/>
            </w:tcBorders>
            <w:tcMar>
              <w:top w:w="0" w:type="dxa"/>
              <w:left w:w="108" w:type="dxa"/>
              <w:bottom w:w="0" w:type="dxa"/>
              <w:right w:w="108" w:type="dxa"/>
            </w:tcMar>
            <w:hideMark/>
          </w:tcPr>
          <w:p w14:paraId="37A41F1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7,981</w:t>
            </w:r>
          </w:p>
        </w:tc>
      </w:tr>
      <w:tr w:rsidR="006E5C07" w:rsidRPr="006E5C07" w14:paraId="1C98ECB6" w14:textId="77777777" w:rsidTr="006E5C07">
        <w:tc>
          <w:tcPr>
            <w:tcW w:w="6305" w:type="dxa"/>
            <w:tcMar>
              <w:top w:w="0" w:type="dxa"/>
              <w:left w:w="108" w:type="dxa"/>
              <w:bottom w:w="0" w:type="dxa"/>
              <w:right w:w="108" w:type="dxa"/>
            </w:tcMar>
            <w:hideMark/>
          </w:tcPr>
          <w:p w14:paraId="7D6848CC"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At 31 December 2020</w:t>
            </w:r>
          </w:p>
        </w:tc>
        <w:tc>
          <w:tcPr>
            <w:tcW w:w="1202" w:type="dxa"/>
            <w:tcBorders>
              <w:top w:val="nil"/>
              <w:left w:val="nil"/>
              <w:bottom w:val="single" w:sz="12" w:space="0" w:color="auto"/>
              <w:right w:val="nil"/>
            </w:tcBorders>
            <w:tcMar>
              <w:top w:w="0" w:type="dxa"/>
              <w:left w:w="108" w:type="dxa"/>
              <w:bottom w:w="0" w:type="dxa"/>
              <w:right w:w="108" w:type="dxa"/>
            </w:tcMar>
            <w:hideMark/>
          </w:tcPr>
          <w:p w14:paraId="24BDB36C"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6,881</w:t>
            </w:r>
          </w:p>
        </w:tc>
      </w:tr>
    </w:tbl>
    <w:p w14:paraId="31BDB79E" w14:textId="77777777" w:rsidR="006E5C07" w:rsidRPr="006E5C07" w:rsidRDefault="006E5C07" w:rsidP="006E5C07">
      <w:pPr>
        <w:spacing w:after="0" w:line="240" w:lineRule="auto"/>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5639F666" w14:textId="77777777" w:rsidR="006E5C07" w:rsidRPr="006E5C07" w:rsidRDefault="006E5C07" w:rsidP="006E5C07">
      <w:pPr>
        <w:spacing w:after="0" w:line="240" w:lineRule="auto"/>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08AE8445"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Goodwill acquired in a business combination is allocated at acquisition to the cash-generating units (CGUs) that are expected to benefit from that business combination. The Directors consider that the businesses of the UK Retail sub-group are an identifiable CGU and the carrying amount of Goodwill is allocated against this CGU.</w:t>
      </w:r>
    </w:p>
    <w:p w14:paraId="2A14FD0C"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023C6EC2"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recoverable amount of the cash generating unit was determined based on value-in-use calculations, covering a detailed forecast, followed by an extrapolation of expected cash flows based on the targeted and expected growth rate over the next five years followed by a terminal factor determined by management.</w:t>
      </w:r>
    </w:p>
    <w:p w14:paraId="6371C132"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1E0D8844"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present value of the future cash flows is then calculated using a discount rate of 8.08%. This discount rates include appropriate adjustments to reflect, in the directors' judgement, the market risk and specific risk of the GGU.</w:t>
      </w:r>
    </w:p>
    <w:p w14:paraId="08314ECE"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66A8EDDB"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growth rate utilised in calculation of the terminal factor is based on expected inflationary growth in the UK beyond the period of forecasting. The growth rate used was 2.5%.</w:t>
      </w:r>
    </w:p>
    <w:p w14:paraId="79B9CD29"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68009F98"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Cash flow projections during the budget period are based on an average growth in EBITDA which the Directors consider to be conservative given the plans for the businesses and the potential increased returns particularly in relation to the pipeline of new business opportunities, offset by the short and medium-term issues caused by Covid-19.</w:t>
      </w:r>
      <w:r w:rsidRPr="006E5C07">
        <w:rPr>
          <w:rFonts w:ascii="GTWalsheimProLight" w:eastAsia="Times New Roman" w:hAnsi="GTWalsheimProLight" w:cs="Calibri"/>
          <w:color w:val="16202C"/>
          <w:sz w:val="18"/>
          <w:szCs w:val="18"/>
        </w:rPr>
        <w:t> </w:t>
      </w:r>
      <w:r w:rsidRPr="006E5C07">
        <w:rPr>
          <w:rFonts w:ascii="Gill Sans MT" w:eastAsia="Times New Roman" w:hAnsi="Gill Sans MT" w:cs="Calibri"/>
          <w:color w:val="16202C"/>
          <w:sz w:val="18"/>
          <w:szCs w:val="18"/>
        </w:rPr>
        <w:t>The discount rates reflect appropriate adjustments relating to market risk and specific risk factors of each CGU.</w:t>
      </w:r>
    </w:p>
    <w:p w14:paraId="7AF7743D"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02334931"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Based on this cash flow projection, the Directors have concluded that the value of the goodwill in this CGU has been impaired by £1,100,000 and as a result, the value of the goodwill for the UK Retail sub-group is now £6,881,000.</w:t>
      </w:r>
    </w:p>
    <w:p w14:paraId="048B8830"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77F4536E"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estimate of recoverable amount for the CGU is sensitive to the discount rate, the cash flow projections and the growth rate.</w:t>
      </w:r>
    </w:p>
    <w:p w14:paraId="7331AA6B"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5363CB86"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If the discount rate used is increased beyond 8.08%, for each further movement of 1% an impairment loss of £0.45 million would have to be recognised and written off against goodwill.</w:t>
      </w:r>
    </w:p>
    <w:p w14:paraId="3683A8E0"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73F26101"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If the annual growth rate beyond 2021, used in the cash flow projection, is decreased below 2.5%, for each further movement of 1% an impairment loss of £0.86 million would have to be recognised and written off against goodwill.</w:t>
      </w:r>
    </w:p>
    <w:p w14:paraId="34805614"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3A731AB4" w14:textId="77777777" w:rsidR="006E5C07" w:rsidRPr="006E5C07" w:rsidRDefault="006E5C07" w:rsidP="006E5C07">
      <w:pPr>
        <w:spacing w:after="0" w:line="240" w:lineRule="auto"/>
        <w:ind w:left="1800" w:hanging="927"/>
        <w:rPr>
          <w:rFonts w:ascii="Calibri" w:eastAsia="Times New Roman" w:hAnsi="Calibri" w:cs="Calibri"/>
          <w:color w:val="16202C"/>
        </w:rPr>
      </w:pPr>
      <w:r w:rsidRPr="006E5C07">
        <w:rPr>
          <w:rFonts w:ascii="Gill Sans MT" w:eastAsia="Times New Roman" w:hAnsi="Gill Sans MT" w:cs="Calibri"/>
          <w:b/>
          <w:bCs/>
          <w:color w:val="16202C"/>
          <w:sz w:val="18"/>
          <w:szCs w:val="18"/>
        </w:rPr>
        <w:t>15. Other intangible assets</w:t>
      </w:r>
    </w:p>
    <w:p w14:paraId="6CD43245"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23997AD4" w14:textId="77777777" w:rsidR="006E5C07" w:rsidRPr="006E5C07" w:rsidRDefault="006E5C07" w:rsidP="006E5C07">
      <w:pPr>
        <w:spacing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1984"/>
        <w:gridCol w:w="1346"/>
        <w:gridCol w:w="1207"/>
        <w:gridCol w:w="1186"/>
        <w:gridCol w:w="1116"/>
      </w:tblGrid>
      <w:tr w:rsidR="006E5C07" w:rsidRPr="006E5C07" w14:paraId="731F6D9B" w14:textId="77777777" w:rsidTr="006E5C07">
        <w:tc>
          <w:tcPr>
            <w:tcW w:w="1984" w:type="dxa"/>
            <w:tcMar>
              <w:top w:w="0" w:type="dxa"/>
              <w:left w:w="108" w:type="dxa"/>
              <w:bottom w:w="0" w:type="dxa"/>
              <w:right w:w="108" w:type="dxa"/>
            </w:tcMar>
            <w:hideMark/>
          </w:tcPr>
          <w:p w14:paraId="5209D0EF"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Cost</w:t>
            </w:r>
          </w:p>
        </w:tc>
        <w:tc>
          <w:tcPr>
            <w:tcW w:w="1346" w:type="dxa"/>
            <w:tcMar>
              <w:top w:w="0" w:type="dxa"/>
              <w:left w:w="108" w:type="dxa"/>
              <w:bottom w:w="0" w:type="dxa"/>
              <w:right w:w="108" w:type="dxa"/>
            </w:tcMar>
            <w:hideMark/>
          </w:tcPr>
          <w:p w14:paraId="5DA14A5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Website</w:t>
            </w:r>
          </w:p>
        </w:tc>
        <w:tc>
          <w:tcPr>
            <w:tcW w:w="1207" w:type="dxa"/>
            <w:tcMar>
              <w:top w:w="0" w:type="dxa"/>
              <w:left w:w="108" w:type="dxa"/>
              <w:bottom w:w="0" w:type="dxa"/>
              <w:right w:w="108" w:type="dxa"/>
            </w:tcMar>
            <w:hideMark/>
          </w:tcPr>
          <w:p w14:paraId="0FAD226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Product</w:t>
            </w:r>
          </w:p>
        </w:tc>
        <w:tc>
          <w:tcPr>
            <w:tcW w:w="1186" w:type="dxa"/>
            <w:tcMar>
              <w:top w:w="0" w:type="dxa"/>
              <w:left w:w="108" w:type="dxa"/>
              <w:bottom w:w="0" w:type="dxa"/>
              <w:right w:w="108" w:type="dxa"/>
            </w:tcMar>
            <w:hideMark/>
          </w:tcPr>
          <w:p w14:paraId="000D918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Patents &amp;</w:t>
            </w:r>
          </w:p>
        </w:tc>
        <w:tc>
          <w:tcPr>
            <w:tcW w:w="1116" w:type="dxa"/>
            <w:tcMar>
              <w:top w:w="0" w:type="dxa"/>
              <w:left w:w="108" w:type="dxa"/>
              <w:bottom w:w="0" w:type="dxa"/>
              <w:right w:w="108" w:type="dxa"/>
            </w:tcMar>
            <w:hideMark/>
          </w:tcPr>
          <w:p w14:paraId="2393AB4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Total</w:t>
            </w:r>
          </w:p>
        </w:tc>
      </w:tr>
      <w:tr w:rsidR="006E5C07" w:rsidRPr="006E5C07" w14:paraId="29A3CB57" w14:textId="77777777" w:rsidTr="006E5C07">
        <w:tc>
          <w:tcPr>
            <w:tcW w:w="1984" w:type="dxa"/>
            <w:tcMar>
              <w:top w:w="0" w:type="dxa"/>
              <w:left w:w="108" w:type="dxa"/>
              <w:bottom w:w="0" w:type="dxa"/>
              <w:right w:w="108" w:type="dxa"/>
            </w:tcMar>
            <w:hideMark/>
          </w:tcPr>
          <w:p w14:paraId="17BCC979" w14:textId="77777777" w:rsidR="006E5C07" w:rsidRPr="006E5C07" w:rsidRDefault="006E5C07" w:rsidP="006E5C07">
            <w:pPr>
              <w:spacing w:after="0" w:line="240" w:lineRule="auto"/>
              <w:rPr>
                <w:rFonts w:ascii="Calibri" w:eastAsia="Times New Roman" w:hAnsi="Calibri" w:cs="Calibri"/>
              </w:rPr>
            </w:pPr>
          </w:p>
        </w:tc>
        <w:tc>
          <w:tcPr>
            <w:tcW w:w="1346" w:type="dxa"/>
            <w:tcMar>
              <w:top w:w="0" w:type="dxa"/>
              <w:left w:w="108" w:type="dxa"/>
              <w:bottom w:w="0" w:type="dxa"/>
              <w:right w:w="108" w:type="dxa"/>
            </w:tcMar>
            <w:hideMark/>
          </w:tcPr>
          <w:p w14:paraId="4089EBA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development</w:t>
            </w:r>
          </w:p>
        </w:tc>
        <w:tc>
          <w:tcPr>
            <w:tcW w:w="1207" w:type="dxa"/>
            <w:tcMar>
              <w:top w:w="0" w:type="dxa"/>
              <w:left w:w="108" w:type="dxa"/>
              <w:bottom w:w="0" w:type="dxa"/>
              <w:right w:w="108" w:type="dxa"/>
            </w:tcMar>
            <w:hideMark/>
          </w:tcPr>
          <w:p w14:paraId="0622C84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development</w:t>
            </w:r>
          </w:p>
        </w:tc>
        <w:tc>
          <w:tcPr>
            <w:tcW w:w="1186" w:type="dxa"/>
            <w:tcMar>
              <w:top w:w="0" w:type="dxa"/>
              <w:left w:w="108" w:type="dxa"/>
              <w:bottom w:w="0" w:type="dxa"/>
              <w:right w:w="108" w:type="dxa"/>
            </w:tcMar>
            <w:hideMark/>
          </w:tcPr>
          <w:p w14:paraId="7F6923E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trademarks</w:t>
            </w:r>
          </w:p>
        </w:tc>
        <w:tc>
          <w:tcPr>
            <w:tcW w:w="1116" w:type="dxa"/>
            <w:tcMar>
              <w:top w:w="0" w:type="dxa"/>
              <w:left w:w="108" w:type="dxa"/>
              <w:bottom w:w="0" w:type="dxa"/>
              <w:right w:w="108" w:type="dxa"/>
            </w:tcMar>
            <w:hideMark/>
          </w:tcPr>
          <w:p w14:paraId="7F924667"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311EF9FE" w14:textId="77777777" w:rsidTr="006E5C07">
        <w:tc>
          <w:tcPr>
            <w:tcW w:w="1984" w:type="dxa"/>
            <w:tcMar>
              <w:top w:w="0" w:type="dxa"/>
              <w:left w:w="108" w:type="dxa"/>
              <w:bottom w:w="0" w:type="dxa"/>
              <w:right w:w="108" w:type="dxa"/>
            </w:tcMar>
            <w:hideMark/>
          </w:tcPr>
          <w:p w14:paraId="0BBC8E11" w14:textId="77777777" w:rsidR="006E5C07" w:rsidRPr="006E5C07" w:rsidRDefault="006E5C07" w:rsidP="006E5C07">
            <w:pPr>
              <w:spacing w:after="0" w:line="240" w:lineRule="auto"/>
              <w:rPr>
                <w:rFonts w:ascii="Calibri" w:eastAsia="Times New Roman" w:hAnsi="Calibri" w:cs="Calibri"/>
              </w:rPr>
            </w:pPr>
          </w:p>
        </w:tc>
        <w:tc>
          <w:tcPr>
            <w:tcW w:w="1346" w:type="dxa"/>
            <w:tcMar>
              <w:top w:w="0" w:type="dxa"/>
              <w:left w:w="108" w:type="dxa"/>
              <w:bottom w:w="0" w:type="dxa"/>
              <w:right w:w="108" w:type="dxa"/>
            </w:tcMar>
            <w:hideMark/>
          </w:tcPr>
          <w:p w14:paraId="5BA2E44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1207" w:type="dxa"/>
            <w:tcMar>
              <w:top w:w="0" w:type="dxa"/>
              <w:left w:w="108" w:type="dxa"/>
              <w:bottom w:w="0" w:type="dxa"/>
              <w:right w:w="108" w:type="dxa"/>
            </w:tcMar>
            <w:hideMark/>
          </w:tcPr>
          <w:p w14:paraId="131BC02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1186" w:type="dxa"/>
            <w:tcMar>
              <w:top w:w="0" w:type="dxa"/>
              <w:left w:w="108" w:type="dxa"/>
              <w:bottom w:w="0" w:type="dxa"/>
              <w:right w:w="108" w:type="dxa"/>
            </w:tcMar>
            <w:hideMark/>
          </w:tcPr>
          <w:p w14:paraId="2AA640A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1116" w:type="dxa"/>
            <w:tcMar>
              <w:top w:w="0" w:type="dxa"/>
              <w:left w:w="108" w:type="dxa"/>
              <w:bottom w:w="0" w:type="dxa"/>
              <w:right w:w="108" w:type="dxa"/>
            </w:tcMar>
            <w:hideMark/>
          </w:tcPr>
          <w:p w14:paraId="470BF76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1B7F3D89" w14:textId="77777777" w:rsidTr="006E5C07">
        <w:tc>
          <w:tcPr>
            <w:tcW w:w="1984" w:type="dxa"/>
            <w:tcMar>
              <w:top w:w="0" w:type="dxa"/>
              <w:left w:w="108" w:type="dxa"/>
              <w:bottom w:w="0" w:type="dxa"/>
              <w:right w:w="108" w:type="dxa"/>
            </w:tcMar>
            <w:hideMark/>
          </w:tcPr>
          <w:p w14:paraId="0C695B5F" w14:textId="77777777" w:rsidR="006E5C07" w:rsidRPr="006E5C07" w:rsidRDefault="006E5C07" w:rsidP="006E5C07">
            <w:pPr>
              <w:spacing w:after="0" w:line="240" w:lineRule="auto"/>
              <w:rPr>
                <w:rFonts w:ascii="Calibri" w:eastAsia="Times New Roman" w:hAnsi="Calibri" w:cs="Calibri"/>
              </w:rPr>
            </w:pPr>
          </w:p>
        </w:tc>
        <w:tc>
          <w:tcPr>
            <w:tcW w:w="1346" w:type="dxa"/>
            <w:tcMar>
              <w:top w:w="0" w:type="dxa"/>
              <w:left w:w="108" w:type="dxa"/>
              <w:bottom w:w="0" w:type="dxa"/>
              <w:right w:w="108" w:type="dxa"/>
            </w:tcMar>
            <w:hideMark/>
          </w:tcPr>
          <w:p w14:paraId="40E2F3AC" w14:textId="77777777" w:rsidR="006E5C07" w:rsidRPr="006E5C07" w:rsidRDefault="006E5C07" w:rsidP="006E5C07">
            <w:pPr>
              <w:spacing w:after="0" w:line="240" w:lineRule="auto"/>
              <w:jc w:val="right"/>
              <w:rPr>
                <w:rFonts w:ascii="Calibri" w:eastAsia="Times New Roman" w:hAnsi="Calibri" w:cs="Calibri"/>
              </w:rPr>
            </w:pPr>
          </w:p>
        </w:tc>
        <w:tc>
          <w:tcPr>
            <w:tcW w:w="1207" w:type="dxa"/>
            <w:tcMar>
              <w:top w:w="0" w:type="dxa"/>
              <w:left w:w="108" w:type="dxa"/>
              <w:bottom w:w="0" w:type="dxa"/>
              <w:right w:w="108" w:type="dxa"/>
            </w:tcMar>
            <w:hideMark/>
          </w:tcPr>
          <w:p w14:paraId="5DAAF51C" w14:textId="77777777" w:rsidR="006E5C07" w:rsidRPr="006E5C07" w:rsidRDefault="006E5C07" w:rsidP="006E5C07">
            <w:pPr>
              <w:spacing w:after="0" w:line="240" w:lineRule="auto"/>
              <w:jc w:val="right"/>
              <w:rPr>
                <w:rFonts w:ascii="Calibri" w:eastAsia="Times New Roman" w:hAnsi="Calibri" w:cs="Calibri"/>
              </w:rPr>
            </w:pPr>
          </w:p>
        </w:tc>
        <w:tc>
          <w:tcPr>
            <w:tcW w:w="1186" w:type="dxa"/>
            <w:tcMar>
              <w:top w:w="0" w:type="dxa"/>
              <w:left w:w="108" w:type="dxa"/>
              <w:bottom w:w="0" w:type="dxa"/>
              <w:right w:w="108" w:type="dxa"/>
            </w:tcMar>
            <w:hideMark/>
          </w:tcPr>
          <w:p w14:paraId="028A1508" w14:textId="77777777" w:rsidR="006E5C07" w:rsidRPr="006E5C07" w:rsidRDefault="006E5C07" w:rsidP="006E5C07">
            <w:pPr>
              <w:spacing w:after="0" w:line="240" w:lineRule="auto"/>
              <w:jc w:val="right"/>
              <w:rPr>
                <w:rFonts w:ascii="Calibri" w:eastAsia="Times New Roman" w:hAnsi="Calibri" w:cs="Calibri"/>
              </w:rPr>
            </w:pPr>
          </w:p>
        </w:tc>
        <w:tc>
          <w:tcPr>
            <w:tcW w:w="1116" w:type="dxa"/>
            <w:tcMar>
              <w:top w:w="0" w:type="dxa"/>
              <w:left w:w="108" w:type="dxa"/>
              <w:bottom w:w="0" w:type="dxa"/>
              <w:right w:w="108" w:type="dxa"/>
            </w:tcMar>
            <w:hideMark/>
          </w:tcPr>
          <w:p w14:paraId="06558FED"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4E0CA881" w14:textId="77777777" w:rsidTr="006E5C07">
        <w:tc>
          <w:tcPr>
            <w:tcW w:w="1984" w:type="dxa"/>
            <w:tcMar>
              <w:top w:w="0" w:type="dxa"/>
              <w:left w:w="108" w:type="dxa"/>
              <w:bottom w:w="0" w:type="dxa"/>
              <w:right w:w="108" w:type="dxa"/>
            </w:tcMar>
            <w:hideMark/>
          </w:tcPr>
          <w:p w14:paraId="7B687158"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31 December 2018</w:t>
            </w:r>
          </w:p>
        </w:tc>
        <w:tc>
          <w:tcPr>
            <w:tcW w:w="1346" w:type="dxa"/>
            <w:tcMar>
              <w:top w:w="0" w:type="dxa"/>
              <w:left w:w="108" w:type="dxa"/>
              <w:bottom w:w="0" w:type="dxa"/>
              <w:right w:w="108" w:type="dxa"/>
            </w:tcMar>
            <w:hideMark/>
          </w:tcPr>
          <w:p w14:paraId="70D143F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284</w:t>
            </w:r>
          </w:p>
        </w:tc>
        <w:tc>
          <w:tcPr>
            <w:tcW w:w="1207" w:type="dxa"/>
            <w:tcMar>
              <w:top w:w="0" w:type="dxa"/>
              <w:left w:w="108" w:type="dxa"/>
              <w:bottom w:w="0" w:type="dxa"/>
              <w:right w:w="108" w:type="dxa"/>
            </w:tcMar>
            <w:hideMark/>
          </w:tcPr>
          <w:p w14:paraId="2728B6F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137</w:t>
            </w:r>
          </w:p>
        </w:tc>
        <w:tc>
          <w:tcPr>
            <w:tcW w:w="1186" w:type="dxa"/>
            <w:tcMar>
              <w:top w:w="0" w:type="dxa"/>
              <w:left w:w="108" w:type="dxa"/>
              <w:bottom w:w="0" w:type="dxa"/>
              <w:right w:w="108" w:type="dxa"/>
            </w:tcMar>
            <w:hideMark/>
          </w:tcPr>
          <w:p w14:paraId="6000EF8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115</w:t>
            </w:r>
          </w:p>
        </w:tc>
        <w:tc>
          <w:tcPr>
            <w:tcW w:w="1116" w:type="dxa"/>
            <w:tcMar>
              <w:top w:w="0" w:type="dxa"/>
              <w:left w:w="108" w:type="dxa"/>
              <w:bottom w:w="0" w:type="dxa"/>
              <w:right w:w="108" w:type="dxa"/>
            </w:tcMar>
            <w:hideMark/>
          </w:tcPr>
          <w:p w14:paraId="1EF23CA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536</w:t>
            </w:r>
          </w:p>
        </w:tc>
      </w:tr>
      <w:tr w:rsidR="006E5C07" w:rsidRPr="006E5C07" w14:paraId="4B97E8FA" w14:textId="77777777" w:rsidTr="006E5C07">
        <w:tc>
          <w:tcPr>
            <w:tcW w:w="1984" w:type="dxa"/>
            <w:tcMar>
              <w:top w:w="0" w:type="dxa"/>
              <w:left w:w="108" w:type="dxa"/>
              <w:bottom w:w="0" w:type="dxa"/>
              <w:right w:w="108" w:type="dxa"/>
            </w:tcMar>
            <w:hideMark/>
          </w:tcPr>
          <w:p w14:paraId="56A949A8"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Additions</w:t>
            </w:r>
          </w:p>
        </w:tc>
        <w:tc>
          <w:tcPr>
            <w:tcW w:w="1346" w:type="dxa"/>
            <w:tcMar>
              <w:top w:w="0" w:type="dxa"/>
              <w:left w:w="108" w:type="dxa"/>
              <w:bottom w:w="0" w:type="dxa"/>
              <w:right w:w="108" w:type="dxa"/>
            </w:tcMar>
            <w:hideMark/>
          </w:tcPr>
          <w:p w14:paraId="377BA85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207" w:type="dxa"/>
            <w:tcMar>
              <w:top w:w="0" w:type="dxa"/>
              <w:left w:w="108" w:type="dxa"/>
              <w:bottom w:w="0" w:type="dxa"/>
              <w:right w:w="108" w:type="dxa"/>
            </w:tcMar>
            <w:hideMark/>
          </w:tcPr>
          <w:p w14:paraId="1DF60A8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186" w:type="dxa"/>
            <w:tcMar>
              <w:top w:w="0" w:type="dxa"/>
              <w:left w:w="108" w:type="dxa"/>
              <w:bottom w:w="0" w:type="dxa"/>
              <w:right w:w="108" w:type="dxa"/>
            </w:tcMar>
            <w:hideMark/>
          </w:tcPr>
          <w:p w14:paraId="02FF306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w:t>
            </w:r>
          </w:p>
        </w:tc>
        <w:tc>
          <w:tcPr>
            <w:tcW w:w="1116" w:type="dxa"/>
            <w:tcMar>
              <w:top w:w="0" w:type="dxa"/>
              <w:left w:w="108" w:type="dxa"/>
              <w:bottom w:w="0" w:type="dxa"/>
              <w:right w:w="108" w:type="dxa"/>
            </w:tcMar>
            <w:hideMark/>
          </w:tcPr>
          <w:p w14:paraId="12F13C0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w:t>
            </w:r>
          </w:p>
        </w:tc>
      </w:tr>
      <w:tr w:rsidR="006E5C07" w:rsidRPr="006E5C07" w14:paraId="5C56B0E9" w14:textId="77777777" w:rsidTr="006E5C07">
        <w:tc>
          <w:tcPr>
            <w:tcW w:w="1984" w:type="dxa"/>
            <w:tcMar>
              <w:top w:w="0" w:type="dxa"/>
              <w:left w:w="108" w:type="dxa"/>
              <w:bottom w:w="0" w:type="dxa"/>
              <w:right w:w="108" w:type="dxa"/>
            </w:tcMar>
            <w:hideMark/>
          </w:tcPr>
          <w:p w14:paraId="1DD19DE8"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31 December 2019</w:t>
            </w:r>
          </w:p>
        </w:tc>
        <w:tc>
          <w:tcPr>
            <w:tcW w:w="1346" w:type="dxa"/>
            <w:tcBorders>
              <w:top w:val="single" w:sz="8" w:space="0" w:color="auto"/>
              <w:left w:val="nil"/>
              <w:bottom w:val="nil"/>
              <w:right w:val="nil"/>
            </w:tcBorders>
            <w:tcMar>
              <w:top w:w="0" w:type="dxa"/>
              <w:left w:w="108" w:type="dxa"/>
              <w:bottom w:w="0" w:type="dxa"/>
              <w:right w:w="108" w:type="dxa"/>
            </w:tcMar>
            <w:hideMark/>
          </w:tcPr>
          <w:p w14:paraId="0DA3940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284</w:t>
            </w:r>
          </w:p>
        </w:tc>
        <w:tc>
          <w:tcPr>
            <w:tcW w:w="1207" w:type="dxa"/>
            <w:tcBorders>
              <w:top w:val="single" w:sz="8" w:space="0" w:color="auto"/>
              <w:left w:val="nil"/>
              <w:bottom w:val="nil"/>
              <w:right w:val="nil"/>
            </w:tcBorders>
            <w:tcMar>
              <w:top w:w="0" w:type="dxa"/>
              <w:left w:w="108" w:type="dxa"/>
              <w:bottom w:w="0" w:type="dxa"/>
              <w:right w:w="108" w:type="dxa"/>
            </w:tcMar>
            <w:hideMark/>
          </w:tcPr>
          <w:p w14:paraId="577222E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137</w:t>
            </w:r>
          </w:p>
        </w:tc>
        <w:tc>
          <w:tcPr>
            <w:tcW w:w="1186" w:type="dxa"/>
            <w:tcBorders>
              <w:top w:val="single" w:sz="8" w:space="0" w:color="auto"/>
              <w:left w:val="nil"/>
              <w:bottom w:val="nil"/>
              <w:right w:val="nil"/>
            </w:tcBorders>
            <w:tcMar>
              <w:top w:w="0" w:type="dxa"/>
              <w:left w:w="108" w:type="dxa"/>
              <w:bottom w:w="0" w:type="dxa"/>
              <w:right w:w="108" w:type="dxa"/>
            </w:tcMar>
            <w:hideMark/>
          </w:tcPr>
          <w:p w14:paraId="50B22D1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116</w:t>
            </w:r>
          </w:p>
        </w:tc>
        <w:tc>
          <w:tcPr>
            <w:tcW w:w="1116" w:type="dxa"/>
            <w:tcBorders>
              <w:top w:val="single" w:sz="8" w:space="0" w:color="auto"/>
              <w:left w:val="nil"/>
              <w:bottom w:val="nil"/>
              <w:right w:val="nil"/>
            </w:tcBorders>
            <w:tcMar>
              <w:top w:w="0" w:type="dxa"/>
              <w:left w:w="108" w:type="dxa"/>
              <w:bottom w:w="0" w:type="dxa"/>
              <w:right w:w="108" w:type="dxa"/>
            </w:tcMar>
            <w:hideMark/>
          </w:tcPr>
          <w:p w14:paraId="5E78D38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537</w:t>
            </w:r>
          </w:p>
        </w:tc>
      </w:tr>
      <w:tr w:rsidR="006E5C07" w:rsidRPr="006E5C07" w14:paraId="23A79AFD" w14:textId="77777777" w:rsidTr="006E5C07">
        <w:tc>
          <w:tcPr>
            <w:tcW w:w="1984" w:type="dxa"/>
            <w:tcMar>
              <w:top w:w="0" w:type="dxa"/>
              <w:left w:w="108" w:type="dxa"/>
              <w:bottom w:w="0" w:type="dxa"/>
              <w:right w:w="108" w:type="dxa"/>
            </w:tcMar>
            <w:hideMark/>
          </w:tcPr>
          <w:p w14:paraId="04CDCB91"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Additions</w:t>
            </w:r>
          </w:p>
        </w:tc>
        <w:tc>
          <w:tcPr>
            <w:tcW w:w="1346" w:type="dxa"/>
            <w:tcBorders>
              <w:top w:val="nil"/>
              <w:left w:val="nil"/>
              <w:bottom w:val="single" w:sz="8" w:space="0" w:color="auto"/>
              <w:right w:val="nil"/>
            </w:tcBorders>
            <w:tcMar>
              <w:top w:w="0" w:type="dxa"/>
              <w:left w:w="108" w:type="dxa"/>
              <w:bottom w:w="0" w:type="dxa"/>
              <w:right w:w="108" w:type="dxa"/>
            </w:tcMar>
            <w:hideMark/>
          </w:tcPr>
          <w:p w14:paraId="660722E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207" w:type="dxa"/>
            <w:tcBorders>
              <w:top w:val="nil"/>
              <w:left w:val="nil"/>
              <w:bottom w:val="single" w:sz="8" w:space="0" w:color="auto"/>
              <w:right w:val="nil"/>
            </w:tcBorders>
            <w:tcMar>
              <w:top w:w="0" w:type="dxa"/>
              <w:left w:w="108" w:type="dxa"/>
              <w:bottom w:w="0" w:type="dxa"/>
              <w:right w:w="108" w:type="dxa"/>
            </w:tcMar>
            <w:hideMark/>
          </w:tcPr>
          <w:p w14:paraId="3AD2348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186" w:type="dxa"/>
            <w:tcBorders>
              <w:top w:val="nil"/>
              <w:left w:val="nil"/>
              <w:bottom w:val="single" w:sz="8" w:space="0" w:color="auto"/>
              <w:right w:val="nil"/>
            </w:tcBorders>
            <w:tcMar>
              <w:top w:w="0" w:type="dxa"/>
              <w:left w:w="108" w:type="dxa"/>
              <w:bottom w:w="0" w:type="dxa"/>
              <w:right w:w="108" w:type="dxa"/>
            </w:tcMar>
            <w:hideMark/>
          </w:tcPr>
          <w:p w14:paraId="2D37207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116" w:type="dxa"/>
            <w:tcBorders>
              <w:top w:val="nil"/>
              <w:left w:val="nil"/>
              <w:bottom w:val="single" w:sz="8" w:space="0" w:color="auto"/>
              <w:right w:val="nil"/>
            </w:tcBorders>
            <w:tcMar>
              <w:top w:w="0" w:type="dxa"/>
              <w:left w:w="108" w:type="dxa"/>
              <w:bottom w:w="0" w:type="dxa"/>
              <w:right w:w="108" w:type="dxa"/>
            </w:tcMar>
            <w:hideMark/>
          </w:tcPr>
          <w:p w14:paraId="36E5A99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r>
      <w:tr w:rsidR="006E5C07" w:rsidRPr="006E5C07" w14:paraId="3B1E32FE" w14:textId="77777777" w:rsidTr="006E5C07">
        <w:tc>
          <w:tcPr>
            <w:tcW w:w="1984" w:type="dxa"/>
            <w:tcMar>
              <w:top w:w="0" w:type="dxa"/>
              <w:left w:w="108" w:type="dxa"/>
              <w:bottom w:w="0" w:type="dxa"/>
              <w:right w:w="108" w:type="dxa"/>
            </w:tcMar>
            <w:hideMark/>
          </w:tcPr>
          <w:p w14:paraId="6FF197ED"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31 December 2020</w:t>
            </w:r>
          </w:p>
        </w:tc>
        <w:tc>
          <w:tcPr>
            <w:tcW w:w="1346" w:type="dxa"/>
            <w:tcBorders>
              <w:top w:val="nil"/>
              <w:left w:val="nil"/>
              <w:bottom w:val="single" w:sz="8" w:space="0" w:color="auto"/>
              <w:right w:val="nil"/>
            </w:tcBorders>
            <w:tcMar>
              <w:top w:w="0" w:type="dxa"/>
              <w:left w:w="108" w:type="dxa"/>
              <w:bottom w:w="0" w:type="dxa"/>
              <w:right w:w="108" w:type="dxa"/>
            </w:tcMar>
            <w:hideMark/>
          </w:tcPr>
          <w:p w14:paraId="225E4BE5"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284</w:t>
            </w:r>
          </w:p>
        </w:tc>
        <w:tc>
          <w:tcPr>
            <w:tcW w:w="1207" w:type="dxa"/>
            <w:tcBorders>
              <w:top w:val="nil"/>
              <w:left w:val="nil"/>
              <w:bottom w:val="single" w:sz="8" w:space="0" w:color="auto"/>
              <w:right w:val="nil"/>
            </w:tcBorders>
            <w:tcMar>
              <w:top w:w="0" w:type="dxa"/>
              <w:left w:w="108" w:type="dxa"/>
              <w:bottom w:w="0" w:type="dxa"/>
              <w:right w:w="108" w:type="dxa"/>
            </w:tcMar>
            <w:hideMark/>
          </w:tcPr>
          <w:p w14:paraId="16926025"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137</w:t>
            </w:r>
          </w:p>
        </w:tc>
        <w:tc>
          <w:tcPr>
            <w:tcW w:w="1186" w:type="dxa"/>
            <w:tcBorders>
              <w:top w:val="nil"/>
              <w:left w:val="nil"/>
              <w:bottom w:val="single" w:sz="8" w:space="0" w:color="auto"/>
              <w:right w:val="nil"/>
            </w:tcBorders>
            <w:tcMar>
              <w:top w:w="0" w:type="dxa"/>
              <w:left w:w="108" w:type="dxa"/>
              <w:bottom w:w="0" w:type="dxa"/>
              <w:right w:w="108" w:type="dxa"/>
            </w:tcMar>
            <w:hideMark/>
          </w:tcPr>
          <w:p w14:paraId="087F17A7"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116</w:t>
            </w:r>
          </w:p>
        </w:tc>
        <w:tc>
          <w:tcPr>
            <w:tcW w:w="1116" w:type="dxa"/>
            <w:tcBorders>
              <w:top w:val="nil"/>
              <w:left w:val="nil"/>
              <w:bottom w:val="single" w:sz="8" w:space="0" w:color="auto"/>
              <w:right w:val="nil"/>
            </w:tcBorders>
            <w:tcMar>
              <w:top w:w="0" w:type="dxa"/>
              <w:left w:w="108" w:type="dxa"/>
              <w:bottom w:w="0" w:type="dxa"/>
              <w:right w:w="108" w:type="dxa"/>
            </w:tcMar>
            <w:hideMark/>
          </w:tcPr>
          <w:p w14:paraId="0EBB1B97"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537</w:t>
            </w:r>
          </w:p>
        </w:tc>
      </w:tr>
    </w:tbl>
    <w:p w14:paraId="10970A86"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lastRenderedPageBreak/>
        <w:t> </w:t>
      </w:r>
    </w:p>
    <w:p w14:paraId="0D7B7EC4" w14:textId="77777777" w:rsidR="006E5C07" w:rsidRPr="006E5C07" w:rsidRDefault="006E5C07" w:rsidP="006E5C07">
      <w:pPr>
        <w:spacing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2073"/>
        <w:gridCol w:w="1289"/>
        <w:gridCol w:w="1201"/>
        <w:gridCol w:w="1202"/>
        <w:gridCol w:w="1113"/>
      </w:tblGrid>
      <w:tr w:rsidR="006E5C07" w:rsidRPr="006E5C07" w14:paraId="6F7C9A63" w14:textId="77777777" w:rsidTr="006E5C07">
        <w:tc>
          <w:tcPr>
            <w:tcW w:w="2073" w:type="dxa"/>
            <w:tcMar>
              <w:top w:w="0" w:type="dxa"/>
              <w:left w:w="108" w:type="dxa"/>
              <w:bottom w:w="0" w:type="dxa"/>
              <w:right w:w="108" w:type="dxa"/>
            </w:tcMar>
            <w:hideMark/>
          </w:tcPr>
          <w:p w14:paraId="55BACEA3"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Amortisation</w:t>
            </w:r>
          </w:p>
        </w:tc>
        <w:tc>
          <w:tcPr>
            <w:tcW w:w="1289" w:type="dxa"/>
            <w:tcMar>
              <w:top w:w="0" w:type="dxa"/>
              <w:left w:w="108" w:type="dxa"/>
              <w:bottom w:w="0" w:type="dxa"/>
              <w:right w:w="108" w:type="dxa"/>
            </w:tcMar>
            <w:hideMark/>
          </w:tcPr>
          <w:p w14:paraId="7A962E3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Website</w:t>
            </w:r>
          </w:p>
        </w:tc>
        <w:tc>
          <w:tcPr>
            <w:tcW w:w="1201" w:type="dxa"/>
            <w:tcMar>
              <w:top w:w="0" w:type="dxa"/>
              <w:left w:w="108" w:type="dxa"/>
              <w:bottom w:w="0" w:type="dxa"/>
              <w:right w:w="108" w:type="dxa"/>
            </w:tcMar>
            <w:hideMark/>
          </w:tcPr>
          <w:p w14:paraId="6E77B624" w14:textId="77777777" w:rsidR="006E5C07" w:rsidRPr="006E5C07" w:rsidRDefault="006E5C07" w:rsidP="006E5C07">
            <w:pPr>
              <w:spacing w:after="0" w:line="240" w:lineRule="auto"/>
              <w:ind w:right="-108"/>
              <w:jc w:val="right"/>
              <w:rPr>
                <w:rFonts w:ascii="Calibri" w:eastAsia="Times New Roman" w:hAnsi="Calibri" w:cs="Calibri"/>
              </w:rPr>
            </w:pPr>
            <w:r w:rsidRPr="006E5C07">
              <w:rPr>
                <w:rFonts w:ascii="Gill Sans MT" w:eastAsia="Times New Roman" w:hAnsi="Gill Sans MT" w:cs="Calibri"/>
                <w:sz w:val="18"/>
                <w:szCs w:val="18"/>
              </w:rPr>
              <w:t>Product</w:t>
            </w:r>
          </w:p>
        </w:tc>
        <w:tc>
          <w:tcPr>
            <w:tcW w:w="1202" w:type="dxa"/>
            <w:tcMar>
              <w:top w:w="0" w:type="dxa"/>
              <w:left w:w="108" w:type="dxa"/>
              <w:bottom w:w="0" w:type="dxa"/>
              <w:right w:w="108" w:type="dxa"/>
            </w:tcMar>
            <w:hideMark/>
          </w:tcPr>
          <w:p w14:paraId="01936BE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Patents &amp;</w:t>
            </w:r>
          </w:p>
        </w:tc>
        <w:tc>
          <w:tcPr>
            <w:tcW w:w="1113" w:type="dxa"/>
            <w:tcMar>
              <w:top w:w="0" w:type="dxa"/>
              <w:left w:w="108" w:type="dxa"/>
              <w:bottom w:w="0" w:type="dxa"/>
              <w:right w:w="108" w:type="dxa"/>
            </w:tcMar>
            <w:hideMark/>
          </w:tcPr>
          <w:p w14:paraId="0F9F5B4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Total</w:t>
            </w:r>
          </w:p>
        </w:tc>
      </w:tr>
      <w:tr w:rsidR="006E5C07" w:rsidRPr="006E5C07" w14:paraId="4D704E02" w14:textId="77777777" w:rsidTr="006E5C07">
        <w:tc>
          <w:tcPr>
            <w:tcW w:w="2073" w:type="dxa"/>
            <w:tcMar>
              <w:top w:w="0" w:type="dxa"/>
              <w:left w:w="108" w:type="dxa"/>
              <w:bottom w:w="0" w:type="dxa"/>
              <w:right w:w="108" w:type="dxa"/>
            </w:tcMar>
            <w:hideMark/>
          </w:tcPr>
          <w:p w14:paraId="1A3BC223" w14:textId="77777777" w:rsidR="006E5C07" w:rsidRPr="006E5C07" w:rsidRDefault="006E5C07" w:rsidP="006E5C07">
            <w:pPr>
              <w:spacing w:after="0" w:line="240" w:lineRule="auto"/>
              <w:rPr>
                <w:rFonts w:ascii="Calibri" w:eastAsia="Times New Roman" w:hAnsi="Calibri" w:cs="Calibri"/>
                <w:b/>
                <w:bCs/>
              </w:rPr>
            </w:pPr>
          </w:p>
        </w:tc>
        <w:tc>
          <w:tcPr>
            <w:tcW w:w="1289" w:type="dxa"/>
            <w:tcMar>
              <w:top w:w="0" w:type="dxa"/>
              <w:left w:w="108" w:type="dxa"/>
              <w:bottom w:w="0" w:type="dxa"/>
              <w:right w:w="108" w:type="dxa"/>
            </w:tcMar>
            <w:hideMark/>
          </w:tcPr>
          <w:p w14:paraId="019385D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Development</w:t>
            </w:r>
          </w:p>
        </w:tc>
        <w:tc>
          <w:tcPr>
            <w:tcW w:w="1201" w:type="dxa"/>
            <w:tcMar>
              <w:top w:w="0" w:type="dxa"/>
              <w:left w:w="108" w:type="dxa"/>
              <w:bottom w:w="0" w:type="dxa"/>
              <w:right w:w="108" w:type="dxa"/>
            </w:tcMar>
            <w:hideMark/>
          </w:tcPr>
          <w:p w14:paraId="1381793F" w14:textId="77777777" w:rsidR="006E5C07" w:rsidRPr="006E5C07" w:rsidRDefault="006E5C07" w:rsidP="006E5C07">
            <w:pPr>
              <w:spacing w:after="0" w:line="240" w:lineRule="auto"/>
              <w:ind w:right="-108"/>
              <w:jc w:val="right"/>
              <w:rPr>
                <w:rFonts w:ascii="Calibri" w:eastAsia="Times New Roman" w:hAnsi="Calibri" w:cs="Calibri"/>
              </w:rPr>
            </w:pPr>
            <w:r w:rsidRPr="006E5C07">
              <w:rPr>
                <w:rFonts w:ascii="Gill Sans MT" w:eastAsia="Times New Roman" w:hAnsi="Gill Sans MT" w:cs="Calibri"/>
                <w:sz w:val="18"/>
                <w:szCs w:val="18"/>
              </w:rPr>
              <w:t>development</w:t>
            </w:r>
          </w:p>
        </w:tc>
        <w:tc>
          <w:tcPr>
            <w:tcW w:w="1202" w:type="dxa"/>
            <w:tcMar>
              <w:top w:w="0" w:type="dxa"/>
              <w:left w:w="108" w:type="dxa"/>
              <w:bottom w:w="0" w:type="dxa"/>
              <w:right w:w="108" w:type="dxa"/>
            </w:tcMar>
            <w:hideMark/>
          </w:tcPr>
          <w:p w14:paraId="691522F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Trademarks</w:t>
            </w:r>
          </w:p>
        </w:tc>
        <w:tc>
          <w:tcPr>
            <w:tcW w:w="1113" w:type="dxa"/>
            <w:tcMar>
              <w:top w:w="0" w:type="dxa"/>
              <w:left w:w="108" w:type="dxa"/>
              <w:bottom w:w="0" w:type="dxa"/>
              <w:right w:w="108" w:type="dxa"/>
            </w:tcMar>
            <w:hideMark/>
          </w:tcPr>
          <w:p w14:paraId="6AEAD167"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18D9E5A8" w14:textId="77777777" w:rsidTr="006E5C07">
        <w:tc>
          <w:tcPr>
            <w:tcW w:w="2073" w:type="dxa"/>
            <w:tcMar>
              <w:top w:w="0" w:type="dxa"/>
              <w:left w:w="108" w:type="dxa"/>
              <w:bottom w:w="0" w:type="dxa"/>
              <w:right w:w="108" w:type="dxa"/>
            </w:tcMar>
            <w:hideMark/>
          </w:tcPr>
          <w:p w14:paraId="686D8AA6" w14:textId="77777777" w:rsidR="006E5C07" w:rsidRPr="006E5C07" w:rsidRDefault="006E5C07" w:rsidP="006E5C07">
            <w:pPr>
              <w:spacing w:after="0" w:line="240" w:lineRule="auto"/>
              <w:rPr>
                <w:rFonts w:ascii="Calibri" w:eastAsia="Times New Roman" w:hAnsi="Calibri" w:cs="Calibri"/>
                <w:b/>
                <w:bCs/>
              </w:rPr>
            </w:pPr>
          </w:p>
        </w:tc>
        <w:tc>
          <w:tcPr>
            <w:tcW w:w="1289" w:type="dxa"/>
            <w:tcMar>
              <w:top w:w="0" w:type="dxa"/>
              <w:left w:w="108" w:type="dxa"/>
              <w:bottom w:w="0" w:type="dxa"/>
              <w:right w:w="108" w:type="dxa"/>
            </w:tcMar>
            <w:hideMark/>
          </w:tcPr>
          <w:p w14:paraId="4D6D000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1201" w:type="dxa"/>
            <w:tcMar>
              <w:top w:w="0" w:type="dxa"/>
              <w:left w:w="108" w:type="dxa"/>
              <w:bottom w:w="0" w:type="dxa"/>
              <w:right w:w="108" w:type="dxa"/>
            </w:tcMar>
            <w:hideMark/>
          </w:tcPr>
          <w:p w14:paraId="69A72B2A" w14:textId="77777777" w:rsidR="006E5C07" w:rsidRPr="006E5C07" w:rsidRDefault="006E5C07" w:rsidP="006E5C07">
            <w:pPr>
              <w:spacing w:after="0" w:line="240" w:lineRule="auto"/>
              <w:ind w:right="-108"/>
              <w:jc w:val="right"/>
              <w:rPr>
                <w:rFonts w:ascii="Calibri" w:eastAsia="Times New Roman" w:hAnsi="Calibri" w:cs="Calibri"/>
              </w:rPr>
            </w:pPr>
            <w:r w:rsidRPr="006E5C07">
              <w:rPr>
                <w:rFonts w:ascii="Gill Sans MT" w:eastAsia="Times New Roman" w:hAnsi="Gill Sans MT" w:cs="Calibri"/>
                <w:sz w:val="18"/>
                <w:szCs w:val="18"/>
              </w:rPr>
              <w:t>£'000</w:t>
            </w:r>
          </w:p>
        </w:tc>
        <w:tc>
          <w:tcPr>
            <w:tcW w:w="1202" w:type="dxa"/>
            <w:tcMar>
              <w:top w:w="0" w:type="dxa"/>
              <w:left w:w="108" w:type="dxa"/>
              <w:bottom w:w="0" w:type="dxa"/>
              <w:right w:w="108" w:type="dxa"/>
            </w:tcMar>
            <w:hideMark/>
          </w:tcPr>
          <w:p w14:paraId="4D2FD88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1113" w:type="dxa"/>
            <w:tcMar>
              <w:top w:w="0" w:type="dxa"/>
              <w:left w:w="108" w:type="dxa"/>
              <w:bottom w:w="0" w:type="dxa"/>
              <w:right w:w="108" w:type="dxa"/>
            </w:tcMar>
            <w:hideMark/>
          </w:tcPr>
          <w:p w14:paraId="3F93817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754C3EF4" w14:textId="77777777" w:rsidTr="006E5C07">
        <w:tc>
          <w:tcPr>
            <w:tcW w:w="2073" w:type="dxa"/>
            <w:tcMar>
              <w:top w:w="0" w:type="dxa"/>
              <w:left w:w="108" w:type="dxa"/>
              <w:bottom w:w="0" w:type="dxa"/>
              <w:right w:w="108" w:type="dxa"/>
            </w:tcMar>
            <w:hideMark/>
          </w:tcPr>
          <w:p w14:paraId="7A4C1F71" w14:textId="77777777" w:rsidR="006E5C07" w:rsidRPr="006E5C07" w:rsidRDefault="006E5C07" w:rsidP="006E5C07">
            <w:pPr>
              <w:spacing w:after="0" w:line="240" w:lineRule="auto"/>
              <w:rPr>
                <w:rFonts w:ascii="Calibri" w:eastAsia="Times New Roman" w:hAnsi="Calibri" w:cs="Calibri"/>
              </w:rPr>
            </w:pPr>
          </w:p>
        </w:tc>
        <w:tc>
          <w:tcPr>
            <w:tcW w:w="1289" w:type="dxa"/>
            <w:tcMar>
              <w:top w:w="0" w:type="dxa"/>
              <w:left w:w="108" w:type="dxa"/>
              <w:bottom w:w="0" w:type="dxa"/>
              <w:right w:w="108" w:type="dxa"/>
            </w:tcMar>
            <w:hideMark/>
          </w:tcPr>
          <w:p w14:paraId="555F21D8" w14:textId="77777777" w:rsidR="006E5C07" w:rsidRPr="006E5C07" w:rsidRDefault="006E5C07" w:rsidP="006E5C07">
            <w:pPr>
              <w:spacing w:after="0" w:line="240" w:lineRule="auto"/>
              <w:jc w:val="right"/>
              <w:rPr>
                <w:rFonts w:ascii="Calibri" w:eastAsia="Times New Roman" w:hAnsi="Calibri" w:cs="Calibri"/>
              </w:rPr>
            </w:pPr>
          </w:p>
        </w:tc>
        <w:tc>
          <w:tcPr>
            <w:tcW w:w="1201" w:type="dxa"/>
            <w:tcMar>
              <w:top w:w="0" w:type="dxa"/>
              <w:left w:w="108" w:type="dxa"/>
              <w:bottom w:w="0" w:type="dxa"/>
              <w:right w:w="108" w:type="dxa"/>
            </w:tcMar>
            <w:hideMark/>
          </w:tcPr>
          <w:p w14:paraId="3DA2359C" w14:textId="77777777" w:rsidR="006E5C07" w:rsidRPr="006E5C07" w:rsidRDefault="006E5C07" w:rsidP="006E5C07">
            <w:pPr>
              <w:spacing w:after="0" w:line="240" w:lineRule="auto"/>
              <w:jc w:val="right"/>
              <w:rPr>
                <w:rFonts w:ascii="Calibri" w:eastAsia="Times New Roman" w:hAnsi="Calibri" w:cs="Calibri"/>
              </w:rPr>
            </w:pPr>
          </w:p>
        </w:tc>
        <w:tc>
          <w:tcPr>
            <w:tcW w:w="1202" w:type="dxa"/>
            <w:tcMar>
              <w:top w:w="0" w:type="dxa"/>
              <w:left w:w="108" w:type="dxa"/>
              <w:bottom w:w="0" w:type="dxa"/>
              <w:right w:w="108" w:type="dxa"/>
            </w:tcMar>
            <w:hideMark/>
          </w:tcPr>
          <w:p w14:paraId="12EF68DB" w14:textId="77777777" w:rsidR="006E5C07" w:rsidRPr="006E5C07" w:rsidRDefault="006E5C07" w:rsidP="006E5C07">
            <w:pPr>
              <w:spacing w:after="0" w:line="240" w:lineRule="auto"/>
              <w:jc w:val="right"/>
              <w:rPr>
                <w:rFonts w:ascii="Calibri" w:eastAsia="Times New Roman" w:hAnsi="Calibri" w:cs="Calibri"/>
              </w:rPr>
            </w:pPr>
          </w:p>
        </w:tc>
        <w:tc>
          <w:tcPr>
            <w:tcW w:w="1113" w:type="dxa"/>
            <w:tcMar>
              <w:top w:w="0" w:type="dxa"/>
              <w:left w:w="108" w:type="dxa"/>
              <w:bottom w:w="0" w:type="dxa"/>
              <w:right w:w="108" w:type="dxa"/>
            </w:tcMar>
            <w:hideMark/>
          </w:tcPr>
          <w:p w14:paraId="05966278"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653B214D" w14:textId="77777777" w:rsidTr="006E5C07">
        <w:tc>
          <w:tcPr>
            <w:tcW w:w="2073" w:type="dxa"/>
            <w:tcMar>
              <w:top w:w="0" w:type="dxa"/>
              <w:left w:w="108" w:type="dxa"/>
              <w:bottom w:w="0" w:type="dxa"/>
              <w:right w:w="108" w:type="dxa"/>
            </w:tcMar>
            <w:hideMark/>
          </w:tcPr>
          <w:p w14:paraId="0917FAAC"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31 December 2018</w:t>
            </w:r>
          </w:p>
        </w:tc>
        <w:tc>
          <w:tcPr>
            <w:tcW w:w="1289" w:type="dxa"/>
            <w:tcMar>
              <w:top w:w="0" w:type="dxa"/>
              <w:left w:w="108" w:type="dxa"/>
              <w:bottom w:w="0" w:type="dxa"/>
              <w:right w:w="108" w:type="dxa"/>
            </w:tcMar>
            <w:hideMark/>
          </w:tcPr>
          <w:p w14:paraId="77F85ED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284</w:t>
            </w:r>
          </w:p>
        </w:tc>
        <w:tc>
          <w:tcPr>
            <w:tcW w:w="1201" w:type="dxa"/>
            <w:tcMar>
              <w:top w:w="0" w:type="dxa"/>
              <w:left w:w="108" w:type="dxa"/>
              <w:bottom w:w="0" w:type="dxa"/>
              <w:right w:w="108" w:type="dxa"/>
            </w:tcMar>
            <w:hideMark/>
          </w:tcPr>
          <w:p w14:paraId="0E5B4D7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137</w:t>
            </w:r>
          </w:p>
        </w:tc>
        <w:tc>
          <w:tcPr>
            <w:tcW w:w="1202" w:type="dxa"/>
            <w:tcMar>
              <w:top w:w="0" w:type="dxa"/>
              <w:left w:w="108" w:type="dxa"/>
              <w:bottom w:w="0" w:type="dxa"/>
              <w:right w:w="108" w:type="dxa"/>
            </w:tcMar>
            <w:hideMark/>
          </w:tcPr>
          <w:p w14:paraId="5FB70B9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111</w:t>
            </w:r>
          </w:p>
        </w:tc>
        <w:tc>
          <w:tcPr>
            <w:tcW w:w="1113" w:type="dxa"/>
            <w:tcMar>
              <w:top w:w="0" w:type="dxa"/>
              <w:left w:w="108" w:type="dxa"/>
              <w:bottom w:w="0" w:type="dxa"/>
              <w:right w:w="108" w:type="dxa"/>
            </w:tcMar>
            <w:hideMark/>
          </w:tcPr>
          <w:p w14:paraId="0C459A3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532</w:t>
            </w:r>
          </w:p>
        </w:tc>
      </w:tr>
      <w:tr w:rsidR="006E5C07" w:rsidRPr="006E5C07" w14:paraId="7CEA5DE0" w14:textId="77777777" w:rsidTr="006E5C07">
        <w:tc>
          <w:tcPr>
            <w:tcW w:w="2073" w:type="dxa"/>
            <w:tcMar>
              <w:top w:w="0" w:type="dxa"/>
              <w:left w:w="108" w:type="dxa"/>
              <w:bottom w:w="0" w:type="dxa"/>
              <w:right w:w="108" w:type="dxa"/>
            </w:tcMar>
            <w:hideMark/>
          </w:tcPr>
          <w:p w14:paraId="28796C9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Charge for the period</w:t>
            </w:r>
          </w:p>
        </w:tc>
        <w:tc>
          <w:tcPr>
            <w:tcW w:w="1289" w:type="dxa"/>
            <w:tcMar>
              <w:top w:w="0" w:type="dxa"/>
              <w:left w:w="108" w:type="dxa"/>
              <w:bottom w:w="0" w:type="dxa"/>
              <w:right w:w="108" w:type="dxa"/>
            </w:tcMar>
            <w:hideMark/>
          </w:tcPr>
          <w:p w14:paraId="554728E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201" w:type="dxa"/>
            <w:tcMar>
              <w:top w:w="0" w:type="dxa"/>
              <w:left w:w="108" w:type="dxa"/>
              <w:bottom w:w="0" w:type="dxa"/>
              <w:right w:w="108" w:type="dxa"/>
            </w:tcMar>
            <w:hideMark/>
          </w:tcPr>
          <w:p w14:paraId="25FA110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202" w:type="dxa"/>
            <w:tcMar>
              <w:top w:w="0" w:type="dxa"/>
              <w:left w:w="108" w:type="dxa"/>
              <w:bottom w:w="0" w:type="dxa"/>
              <w:right w:w="108" w:type="dxa"/>
            </w:tcMar>
            <w:hideMark/>
          </w:tcPr>
          <w:p w14:paraId="056BCF8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w:t>
            </w:r>
          </w:p>
        </w:tc>
        <w:tc>
          <w:tcPr>
            <w:tcW w:w="1113" w:type="dxa"/>
            <w:tcMar>
              <w:top w:w="0" w:type="dxa"/>
              <w:left w:w="108" w:type="dxa"/>
              <w:bottom w:w="0" w:type="dxa"/>
              <w:right w:w="108" w:type="dxa"/>
            </w:tcMar>
            <w:hideMark/>
          </w:tcPr>
          <w:p w14:paraId="14041D7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w:t>
            </w:r>
          </w:p>
        </w:tc>
      </w:tr>
      <w:tr w:rsidR="006E5C07" w:rsidRPr="006E5C07" w14:paraId="76EC0EF6" w14:textId="77777777" w:rsidTr="006E5C07">
        <w:tc>
          <w:tcPr>
            <w:tcW w:w="2073" w:type="dxa"/>
            <w:tcMar>
              <w:top w:w="0" w:type="dxa"/>
              <w:left w:w="108" w:type="dxa"/>
              <w:bottom w:w="0" w:type="dxa"/>
              <w:right w:w="108" w:type="dxa"/>
            </w:tcMar>
            <w:hideMark/>
          </w:tcPr>
          <w:p w14:paraId="462054CF"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31 December 2019</w:t>
            </w:r>
          </w:p>
        </w:tc>
        <w:tc>
          <w:tcPr>
            <w:tcW w:w="1289" w:type="dxa"/>
            <w:tcBorders>
              <w:top w:val="single" w:sz="8" w:space="0" w:color="auto"/>
              <w:left w:val="nil"/>
              <w:bottom w:val="nil"/>
              <w:right w:val="nil"/>
            </w:tcBorders>
            <w:tcMar>
              <w:top w:w="0" w:type="dxa"/>
              <w:left w:w="108" w:type="dxa"/>
              <w:bottom w:w="0" w:type="dxa"/>
              <w:right w:w="108" w:type="dxa"/>
            </w:tcMar>
            <w:hideMark/>
          </w:tcPr>
          <w:p w14:paraId="61625B8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284</w:t>
            </w:r>
          </w:p>
        </w:tc>
        <w:tc>
          <w:tcPr>
            <w:tcW w:w="1201" w:type="dxa"/>
            <w:tcBorders>
              <w:top w:val="single" w:sz="8" w:space="0" w:color="auto"/>
              <w:left w:val="nil"/>
              <w:bottom w:val="nil"/>
              <w:right w:val="nil"/>
            </w:tcBorders>
            <w:tcMar>
              <w:top w:w="0" w:type="dxa"/>
              <w:left w:w="108" w:type="dxa"/>
              <w:bottom w:w="0" w:type="dxa"/>
              <w:right w:w="108" w:type="dxa"/>
            </w:tcMar>
            <w:hideMark/>
          </w:tcPr>
          <w:p w14:paraId="155ED53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137</w:t>
            </w:r>
          </w:p>
        </w:tc>
        <w:tc>
          <w:tcPr>
            <w:tcW w:w="1202" w:type="dxa"/>
            <w:tcBorders>
              <w:top w:val="single" w:sz="8" w:space="0" w:color="auto"/>
              <w:left w:val="nil"/>
              <w:bottom w:val="nil"/>
              <w:right w:val="nil"/>
            </w:tcBorders>
            <w:tcMar>
              <w:top w:w="0" w:type="dxa"/>
              <w:left w:w="108" w:type="dxa"/>
              <w:bottom w:w="0" w:type="dxa"/>
              <w:right w:w="108" w:type="dxa"/>
            </w:tcMar>
            <w:hideMark/>
          </w:tcPr>
          <w:p w14:paraId="722754A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116</w:t>
            </w:r>
          </w:p>
        </w:tc>
        <w:tc>
          <w:tcPr>
            <w:tcW w:w="1113" w:type="dxa"/>
            <w:tcBorders>
              <w:top w:val="single" w:sz="8" w:space="0" w:color="auto"/>
              <w:left w:val="nil"/>
              <w:bottom w:val="nil"/>
              <w:right w:val="nil"/>
            </w:tcBorders>
            <w:tcMar>
              <w:top w:w="0" w:type="dxa"/>
              <w:left w:w="108" w:type="dxa"/>
              <w:bottom w:w="0" w:type="dxa"/>
              <w:right w:w="108" w:type="dxa"/>
            </w:tcMar>
            <w:hideMark/>
          </w:tcPr>
          <w:p w14:paraId="69E7A68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537</w:t>
            </w:r>
          </w:p>
        </w:tc>
      </w:tr>
      <w:tr w:rsidR="006E5C07" w:rsidRPr="006E5C07" w14:paraId="3FB03158" w14:textId="77777777" w:rsidTr="006E5C07">
        <w:tc>
          <w:tcPr>
            <w:tcW w:w="2073" w:type="dxa"/>
            <w:tcMar>
              <w:top w:w="0" w:type="dxa"/>
              <w:left w:w="108" w:type="dxa"/>
              <w:bottom w:w="0" w:type="dxa"/>
              <w:right w:w="108" w:type="dxa"/>
            </w:tcMar>
            <w:hideMark/>
          </w:tcPr>
          <w:p w14:paraId="5906DA9E"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Charge for the period</w:t>
            </w:r>
          </w:p>
        </w:tc>
        <w:tc>
          <w:tcPr>
            <w:tcW w:w="1289" w:type="dxa"/>
            <w:tcBorders>
              <w:top w:val="nil"/>
              <w:left w:val="nil"/>
              <w:bottom w:val="single" w:sz="8" w:space="0" w:color="auto"/>
              <w:right w:val="nil"/>
            </w:tcBorders>
            <w:tcMar>
              <w:top w:w="0" w:type="dxa"/>
              <w:left w:w="108" w:type="dxa"/>
              <w:bottom w:w="0" w:type="dxa"/>
              <w:right w:w="108" w:type="dxa"/>
            </w:tcMar>
            <w:hideMark/>
          </w:tcPr>
          <w:p w14:paraId="76FDC4E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201" w:type="dxa"/>
            <w:tcBorders>
              <w:top w:val="nil"/>
              <w:left w:val="nil"/>
              <w:bottom w:val="single" w:sz="8" w:space="0" w:color="auto"/>
              <w:right w:val="nil"/>
            </w:tcBorders>
            <w:tcMar>
              <w:top w:w="0" w:type="dxa"/>
              <w:left w:w="108" w:type="dxa"/>
              <w:bottom w:w="0" w:type="dxa"/>
              <w:right w:w="108" w:type="dxa"/>
            </w:tcMar>
            <w:hideMark/>
          </w:tcPr>
          <w:p w14:paraId="007896A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202" w:type="dxa"/>
            <w:tcBorders>
              <w:top w:val="nil"/>
              <w:left w:val="nil"/>
              <w:bottom w:val="single" w:sz="8" w:space="0" w:color="auto"/>
              <w:right w:val="nil"/>
            </w:tcBorders>
            <w:tcMar>
              <w:top w:w="0" w:type="dxa"/>
              <w:left w:w="108" w:type="dxa"/>
              <w:bottom w:w="0" w:type="dxa"/>
              <w:right w:w="108" w:type="dxa"/>
            </w:tcMar>
            <w:hideMark/>
          </w:tcPr>
          <w:p w14:paraId="2D388DD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113" w:type="dxa"/>
            <w:tcBorders>
              <w:top w:val="nil"/>
              <w:left w:val="nil"/>
              <w:bottom w:val="single" w:sz="8" w:space="0" w:color="auto"/>
              <w:right w:val="nil"/>
            </w:tcBorders>
            <w:tcMar>
              <w:top w:w="0" w:type="dxa"/>
              <w:left w:w="108" w:type="dxa"/>
              <w:bottom w:w="0" w:type="dxa"/>
              <w:right w:w="108" w:type="dxa"/>
            </w:tcMar>
            <w:hideMark/>
          </w:tcPr>
          <w:p w14:paraId="6DA7212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r>
      <w:tr w:rsidR="006E5C07" w:rsidRPr="006E5C07" w14:paraId="54991A3D" w14:textId="77777777" w:rsidTr="006E5C07">
        <w:tc>
          <w:tcPr>
            <w:tcW w:w="2073" w:type="dxa"/>
            <w:tcMar>
              <w:top w:w="0" w:type="dxa"/>
              <w:left w:w="108" w:type="dxa"/>
              <w:bottom w:w="0" w:type="dxa"/>
              <w:right w:w="108" w:type="dxa"/>
            </w:tcMar>
            <w:hideMark/>
          </w:tcPr>
          <w:p w14:paraId="6561E08C"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31 December 2020</w:t>
            </w:r>
          </w:p>
        </w:tc>
        <w:tc>
          <w:tcPr>
            <w:tcW w:w="1289" w:type="dxa"/>
            <w:tcBorders>
              <w:top w:val="nil"/>
              <w:left w:val="nil"/>
              <w:bottom w:val="single" w:sz="8" w:space="0" w:color="auto"/>
              <w:right w:val="nil"/>
            </w:tcBorders>
            <w:tcMar>
              <w:top w:w="0" w:type="dxa"/>
              <w:left w:w="108" w:type="dxa"/>
              <w:bottom w:w="0" w:type="dxa"/>
              <w:right w:w="108" w:type="dxa"/>
            </w:tcMar>
            <w:hideMark/>
          </w:tcPr>
          <w:p w14:paraId="76F0440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284</w:t>
            </w:r>
          </w:p>
        </w:tc>
        <w:tc>
          <w:tcPr>
            <w:tcW w:w="1201" w:type="dxa"/>
            <w:tcBorders>
              <w:top w:val="nil"/>
              <w:left w:val="nil"/>
              <w:bottom w:val="single" w:sz="8" w:space="0" w:color="auto"/>
              <w:right w:val="nil"/>
            </w:tcBorders>
            <w:tcMar>
              <w:top w:w="0" w:type="dxa"/>
              <w:left w:w="108" w:type="dxa"/>
              <w:bottom w:w="0" w:type="dxa"/>
              <w:right w:w="108" w:type="dxa"/>
            </w:tcMar>
            <w:hideMark/>
          </w:tcPr>
          <w:p w14:paraId="7A6FCE2F"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137</w:t>
            </w:r>
          </w:p>
        </w:tc>
        <w:tc>
          <w:tcPr>
            <w:tcW w:w="1202" w:type="dxa"/>
            <w:tcBorders>
              <w:top w:val="nil"/>
              <w:left w:val="nil"/>
              <w:bottom w:val="single" w:sz="8" w:space="0" w:color="auto"/>
              <w:right w:val="nil"/>
            </w:tcBorders>
            <w:tcMar>
              <w:top w:w="0" w:type="dxa"/>
              <w:left w:w="108" w:type="dxa"/>
              <w:bottom w:w="0" w:type="dxa"/>
              <w:right w:w="108" w:type="dxa"/>
            </w:tcMar>
            <w:hideMark/>
          </w:tcPr>
          <w:p w14:paraId="2E45E014"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116</w:t>
            </w:r>
          </w:p>
        </w:tc>
        <w:tc>
          <w:tcPr>
            <w:tcW w:w="1113" w:type="dxa"/>
            <w:tcBorders>
              <w:top w:val="nil"/>
              <w:left w:val="nil"/>
              <w:bottom w:val="single" w:sz="8" w:space="0" w:color="auto"/>
              <w:right w:val="nil"/>
            </w:tcBorders>
            <w:tcMar>
              <w:top w:w="0" w:type="dxa"/>
              <w:left w:w="108" w:type="dxa"/>
              <w:bottom w:w="0" w:type="dxa"/>
              <w:right w:w="108" w:type="dxa"/>
            </w:tcMar>
            <w:hideMark/>
          </w:tcPr>
          <w:p w14:paraId="49B2349C"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537</w:t>
            </w:r>
          </w:p>
        </w:tc>
      </w:tr>
    </w:tbl>
    <w:p w14:paraId="109080A3"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12A3A4F7" w14:textId="77777777" w:rsidR="006E5C07" w:rsidRPr="006E5C07" w:rsidRDefault="006E5C07" w:rsidP="006E5C07">
      <w:pPr>
        <w:spacing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1988"/>
        <w:gridCol w:w="1382"/>
        <w:gridCol w:w="1207"/>
        <w:gridCol w:w="1148"/>
        <w:gridCol w:w="1115"/>
      </w:tblGrid>
      <w:tr w:rsidR="006E5C07" w:rsidRPr="006E5C07" w14:paraId="5FF16956" w14:textId="77777777" w:rsidTr="006E5C07">
        <w:tc>
          <w:tcPr>
            <w:tcW w:w="1988" w:type="dxa"/>
            <w:tcMar>
              <w:top w:w="0" w:type="dxa"/>
              <w:left w:w="108" w:type="dxa"/>
              <w:bottom w:w="0" w:type="dxa"/>
              <w:right w:w="108" w:type="dxa"/>
            </w:tcMar>
            <w:hideMark/>
          </w:tcPr>
          <w:p w14:paraId="2AFC509A"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Net book value</w:t>
            </w:r>
          </w:p>
        </w:tc>
        <w:tc>
          <w:tcPr>
            <w:tcW w:w="1382" w:type="dxa"/>
            <w:tcMar>
              <w:top w:w="0" w:type="dxa"/>
              <w:left w:w="108" w:type="dxa"/>
              <w:bottom w:w="0" w:type="dxa"/>
              <w:right w:w="108" w:type="dxa"/>
            </w:tcMar>
            <w:hideMark/>
          </w:tcPr>
          <w:p w14:paraId="2CACF89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Website</w:t>
            </w:r>
          </w:p>
        </w:tc>
        <w:tc>
          <w:tcPr>
            <w:tcW w:w="1207" w:type="dxa"/>
            <w:tcMar>
              <w:top w:w="0" w:type="dxa"/>
              <w:left w:w="108" w:type="dxa"/>
              <w:bottom w:w="0" w:type="dxa"/>
              <w:right w:w="108" w:type="dxa"/>
            </w:tcMar>
            <w:hideMark/>
          </w:tcPr>
          <w:p w14:paraId="02CA829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Product</w:t>
            </w:r>
          </w:p>
        </w:tc>
        <w:tc>
          <w:tcPr>
            <w:tcW w:w="1148" w:type="dxa"/>
            <w:tcMar>
              <w:top w:w="0" w:type="dxa"/>
              <w:left w:w="108" w:type="dxa"/>
              <w:bottom w:w="0" w:type="dxa"/>
              <w:right w:w="108" w:type="dxa"/>
            </w:tcMar>
            <w:hideMark/>
          </w:tcPr>
          <w:p w14:paraId="2E01AA3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Patents &amp;</w:t>
            </w:r>
          </w:p>
        </w:tc>
        <w:tc>
          <w:tcPr>
            <w:tcW w:w="1115" w:type="dxa"/>
            <w:tcMar>
              <w:top w:w="0" w:type="dxa"/>
              <w:left w:w="108" w:type="dxa"/>
              <w:bottom w:w="0" w:type="dxa"/>
              <w:right w:w="108" w:type="dxa"/>
            </w:tcMar>
            <w:hideMark/>
          </w:tcPr>
          <w:p w14:paraId="10EC9A8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Total</w:t>
            </w:r>
          </w:p>
        </w:tc>
      </w:tr>
      <w:tr w:rsidR="006E5C07" w:rsidRPr="006E5C07" w14:paraId="4BE09F46" w14:textId="77777777" w:rsidTr="006E5C07">
        <w:tc>
          <w:tcPr>
            <w:tcW w:w="1988" w:type="dxa"/>
            <w:tcMar>
              <w:top w:w="0" w:type="dxa"/>
              <w:left w:w="108" w:type="dxa"/>
              <w:bottom w:w="0" w:type="dxa"/>
              <w:right w:w="108" w:type="dxa"/>
            </w:tcMar>
            <w:hideMark/>
          </w:tcPr>
          <w:p w14:paraId="4B62F3D7" w14:textId="77777777" w:rsidR="006E5C07" w:rsidRPr="006E5C07" w:rsidRDefault="006E5C07" w:rsidP="006E5C07">
            <w:pPr>
              <w:spacing w:after="0" w:line="240" w:lineRule="auto"/>
              <w:rPr>
                <w:rFonts w:ascii="Calibri" w:eastAsia="Times New Roman" w:hAnsi="Calibri" w:cs="Calibri"/>
              </w:rPr>
            </w:pPr>
          </w:p>
        </w:tc>
        <w:tc>
          <w:tcPr>
            <w:tcW w:w="1382" w:type="dxa"/>
            <w:tcMar>
              <w:top w:w="0" w:type="dxa"/>
              <w:left w:w="108" w:type="dxa"/>
              <w:bottom w:w="0" w:type="dxa"/>
              <w:right w:w="108" w:type="dxa"/>
            </w:tcMar>
            <w:hideMark/>
          </w:tcPr>
          <w:p w14:paraId="2E3152A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development</w:t>
            </w:r>
          </w:p>
        </w:tc>
        <w:tc>
          <w:tcPr>
            <w:tcW w:w="1207" w:type="dxa"/>
            <w:tcMar>
              <w:top w:w="0" w:type="dxa"/>
              <w:left w:w="108" w:type="dxa"/>
              <w:bottom w:w="0" w:type="dxa"/>
              <w:right w:w="108" w:type="dxa"/>
            </w:tcMar>
            <w:hideMark/>
          </w:tcPr>
          <w:p w14:paraId="353C987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Development</w:t>
            </w:r>
          </w:p>
        </w:tc>
        <w:tc>
          <w:tcPr>
            <w:tcW w:w="1148" w:type="dxa"/>
            <w:tcMar>
              <w:top w:w="0" w:type="dxa"/>
              <w:left w:w="108" w:type="dxa"/>
              <w:bottom w:w="0" w:type="dxa"/>
              <w:right w:w="108" w:type="dxa"/>
            </w:tcMar>
            <w:hideMark/>
          </w:tcPr>
          <w:p w14:paraId="70B14E1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Trademarks</w:t>
            </w:r>
          </w:p>
        </w:tc>
        <w:tc>
          <w:tcPr>
            <w:tcW w:w="1115" w:type="dxa"/>
            <w:tcMar>
              <w:top w:w="0" w:type="dxa"/>
              <w:left w:w="108" w:type="dxa"/>
              <w:bottom w:w="0" w:type="dxa"/>
              <w:right w:w="108" w:type="dxa"/>
            </w:tcMar>
            <w:hideMark/>
          </w:tcPr>
          <w:p w14:paraId="5D0CB74B"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43DF8DC6" w14:textId="77777777" w:rsidTr="006E5C07">
        <w:tc>
          <w:tcPr>
            <w:tcW w:w="1988" w:type="dxa"/>
            <w:tcMar>
              <w:top w:w="0" w:type="dxa"/>
              <w:left w:w="108" w:type="dxa"/>
              <w:bottom w:w="0" w:type="dxa"/>
              <w:right w:w="108" w:type="dxa"/>
            </w:tcMar>
            <w:hideMark/>
          </w:tcPr>
          <w:p w14:paraId="034B10E8" w14:textId="77777777" w:rsidR="006E5C07" w:rsidRPr="006E5C07" w:rsidRDefault="006E5C07" w:rsidP="006E5C07">
            <w:pPr>
              <w:spacing w:after="0" w:line="240" w:lineRule="auto"/>
              <w:rPr>
                <w:rFonts w:ascii="Calibri" w:eastAsia="Times New Roman" w:hAnsi="Calibri" w:cs="Calibri"/>
              </w:rPr>
            </w:pPr>
          </w:p>
        </w:tc>
        <w:tc>
          <w:tcPr>
            <w:tcW w:w="1382" w:type="dxa"/>
            <w:tcMar>
              <w:top w:w="0" w:type="dxa"/>
              <w:left w:w="108" w:type="dxa"/>
              <w:bottom w:w="0" w:type="dxa"/>
              <w:right w:w="108" w:type="dxa"/>
            </w:tcMar>
            <w:hideMark/>
          </w:tcPr>
          <w:p w14:paraId="71D44AE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1207" w:type="dxa"/>
            <w:tcMar>
              <w:top w:w="0" w:type="dxa"/>
              <w:left w:w="108" w:type="dxa"/>
              <w:bottom w:w="0" w:type="dxa"/>
              <w:right w:w="108" w:type="dxa"/>
            </w:tcMar>
            <w:hideMark/>
          </w:tcPr>
          <w:p w14:paraId="784A69B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1148" w:type="dxa"/>
            <w:tcMar>
              <w:top w:w="0" w:type="dxa"/>
              <w:left w:w="108" w:type="dxa"/>
              <w:bottom w:w="0" w:type="dxa"/>
              <w:right w:w="108" w:type="dxa"/>
            </w:tcMar>
            <w:hideMark/>
          </w:tcPr>
          <w:p w14:paraId="59C694A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1115" w:type="dxa"/>
            <w:tcMar>
              <w:top w:w="0" w:type="dxa"/>
              <w:left w:w="108" w:type="dxa"/>
              <w:bottom w:w="0" w:type="dxa"/>
              <w:right w:w="108" w:type="dxa"/>
            </w:tcMar>
            <w:hideMark/>
          </w:tcPr>
          <w:p w14:paraId="3242B32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5F42A064" w14:textId="77777777" w:rsidTr="006E5C07">
        <w:tc>
          <w:tcPr>
            <w:tcW w:w="1988" w:type="dxa"/>
            <w:tcMar>
              <w:top w:w="0" w:type="dxa"/>
              <w:left w:w="108" w:type="dxa"/>
              <w:bottom w:w="0" w:type="dxa"/>
              <w:right w:w="108" w:type="dxa"/>
            </w:tcMar>
            <w:hideMark/>
          </w:tcPr>
          <w:p w14:paraId="724EBE04" w14:textId="77777777" w:rsidR="006E5C07" w:rsidRPr="006E5C07" w:rsidRDefault="006E5C07" w:rsidP="006E5C07">
            <w:pPr>
              <w:spacing w:after="0" w:line="240" w:lineRule="auto"/>
              <w:rPr>
                <w:rFonts w:ascii="Calibri" w:eastAsia="Times New Roman" w:hAnsi="Calibri" w:cs="Calibri"/>
              </w:rPr>
            </w:pPr>
          </w:p>
        </w:tc>
        <w:tc>
          <w:tcPr>
            <w:tcW w:w="1382" w:type="dxa"/>
            <w:tcMar>
              <w:top w:w="0" w:type="dxa"/>
              <w:left w:w="108" w:type="dxa"/>
              <w:bottom w:w="0" w:type="dxa"/>
              <w:right w:w="108" w:type="dxa"/>
            </w:tcMar>
            <w:hideMark/>
          </w:tcPr>
          <w:p w14:paraId="51DC9E88" w14:textId="77777777" w:rsidR="006E5C07" w:rsidRPr="006E5C07" w:rsidRDefault="006E5C07" w:rsidP="006E5C07">
            <w:pPr>
              <w:spacing w:after="0" w:line="240" w:lineRule="auto"/>
              <w:jc w:val="right"/>
              <w:rPr>
                <w:rFonts w:ascii="Calibri" w:eastAsia="Times New Roman" w:hAnsi="Calibri" w:cs="Calibri"/>
              </w:rPr>
            </w:pPr>
          </w:p>
        </w:tc>
        <w:tc>
          <w:tcPr>
            <w:tcW w:w="1207" w:type="dxa"/>
            <w:tcMar>
              <w:top w:w="0" w:type="dxa"/>
              <w:left w:w="108" w:type="dxa"/>
              <w:bottom w:w="0" w:type="dxa"/>
              <w:right w:w="108" w:type="dxa"/>
            </w:tcMar>
            <w:hideMark/>
          </w:tcPr>
          <w:p w14:paraId="17BAA3A5" w14:textId="77777777" w:rsidR="006E5C07" w:rsidRPr="006E5C07" w:rsidRDefault="006E5C07" w:rsidP="006E5C07">
            <w:pPr>
              <w:spacing w:after="0" w:line="240" w:lineRule="auto"/>
              <w:jc w:val="right"/>
              <w:rPr>
                <w:rFonts w:ascii="Calibri" w:eastAsia="Times New Roman" w:hAnsi="Calibri" w:cs="Calibri"/>
              </w:rPr>
            </w:pPr>
          </w:p>
        </w:tc>
        <w:tc>
          <w:tcPr>
            <w:tcW w:w="1148" w:type="dxa"/>
            <w:tcMar>
              <w:top w:w="0" w:type="dxa"/>
              <w:left w:w="108" w:type="dxa"/>
              <w:bottom w:w="0" w:type="dxa"/>
              <w:right w:w="108" w:type="dxa"/>
            </w:tcMar>
            <w:hideMark/>
          </w:tcPr>
          <w:p w14:paraId="6E24BB6B" w14:textId="77777777" w:rsidR="006E5C07" w:rsidRPr="006E5C07" w:rsidRDefault="006E5C07" w:rsidP="006E5C07">
            <w:pPr>
              <w:spacing w:after="0" w:line="240" w:lineRule="auto"/>
              <w:jc w:val="right"/>
              <w:rPr>
                <w:rFonts w:ascii="Calibri" w:eastAsia="Times New Roman" w:hAnsi="Calibri" w:cs="Calibri"/>
              </w:rPr>
            </w:pPr>
          </w:p>
        </w:tc>
        <w:tc>
          <w:tcPr>
            <w:tcW w:w="1115" w:type="dxa"/>
            <w:tcMar>
              <w:top w:w="0" w:type="dxa"/>
              <w:left w:w="108" w:type="dxa"/>
              <w:bottom w:w="0" w:type="dxa"/>
              <w:right w:w="108" w:type="dxa"/>
            </w:tcMar>
            <w:hideMark/>
          </w:tcPr>
          <w:p w14:paraId="1236E6D8"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4B0F7B76" w14:textId="77777777" w:rsidTr="006E5C07">
        <w:tc>
          <w:tcPr>
            <w:tcW w:w="1988" w:type="dxa"/>
            <w:tcMar>
              <w:top w:w="0" w:type="dxa"/>
              <w:left w:w="108" w:type="dxa"/>
              <w:bottom w:w="0" w:type="dxa"/>
              <w:right w:w="108" w:type="dxa"/>
            </w:tcMar>
            <w:hideMark/>
          </w:tcPr>
          <w:p w14:paraId="1A1017D0"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31 December 2018</w:t>
            </w:r>
          </w:p>
        </w:tc>
        <w:tc>
          <w:tcPr>
            <w:tcW w:w="1382" w:type="dxa"/>
            <w:tcBorders>
              <w:top w:val="nil"/>
              <w:left w:val="nil"/>
              <w:bottom w:val="single" w:sz="8" w:space="0" w:color="auto"/>
              <w:right w:val="nil"/>
            </w:tcBorders>
            <w:tcMar>
              <w:top w:w="0" w:type="dxa"/>
              <w:left w:w="108" w:type="dxa"/>
              <w:bottom w:w="0" w:type="dxa"/>
              <w:right w:w="108" w:type="dxa"/>
            </w:tcMar>
            <w:hideMark/>
          </w:tcPr>
          <w:p w14:paraId="766E473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207" w:type="dxa"/>
            <w:tcBorders>
              <w:top w:val="nil"/>
              <w:left w:val="nil"/>
              <w:bottom w:val="single" w:sz="8" w:space="0" w:color="auto"/>
              <w:right w:val="nil"/>
            </w:tcBorders>
            <w:tcMar>
              <w:top w:w="0" w:type="dxa"/>
              <w:left w:w="108" w:type="dxa"/>
              <w:bottom w:w="0" w:type="dxa"/>
              <w:right w:w="108" w:type="dxa"/>
            </w:tcMar>
            <w:hideMark/>
          </w:tcPr>
          <w:p w14:paraId="7FAF4C8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148" w:type="dxa"/>
            <w:tcBorders>
              <w:top w:val="nil"/>
              <w:left w:val="nil"/>
              <w:bottom w:val="single" w:sz="8" w:space="0" w:color="auto"/>
              <w:right w:val="nil"/>
            </w:tcBorders>
            <w:tcMar>
              <w:top w:w="0" w:type="dxa"/>
              <w:left w:w="108" w:type="dxa"/>
              <w:bottom w:w="0" w:type="dxa"/>
              <w:right w:w="108" w:type="dxa"/>
            </w:tcMar>
            <w:hideMark/>
          </w:tcPr>
          <w:p w14:paraId="03184DA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w:t>
            </w:r>
          </w:p>
        </w:tc>
        <w:tc>
          <w:tcPr>
            <w:tcW w:w="1115" w:type="dxa"/>
            <w:tcBorders>
              <w:top w:val="nil"/>
              <w:left w:val="nil"/>
              <w:bottom w:val="single" w:sz="8" w:space="0" w:color="auto"/>
              <w:right w:val="nil"/>
            </w:tcBorders>
            <w:tcMar>
              <w:top w:w="0" w:type="dxa"/>
              <w:left w:w="108" w:type="dxa"/>
              <w:bottom w:w="0" w:type="dxa"/>
              <w:right w:w="108" w:type="dxa"/>
            </w:tcMar>
            <w:hideMark/>
          </w:tcPr>
          <w:p w14:paraId="5667114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w:t>
            </w:r>
          </w:p>
        </w:tc>
      </w:tr>
      <w:tr w:rsidR="006E5C07" w:rsidRPr="006E5C07" w14:paraId="6E997CD0" w14:textId="77777777" w:rsidTr="006E5C07">
        <w:tc>
          <w:tcPr>
            <w:tcW w:w="1988" w:type="dxa"/>
            <w:tcMar>
              <w:top w:w="0" w:type="dxa"/>
              <w:left w:w="108" w:type="dxa"/>
              <w:bottom w:w="0" w:type="dxa"/>
              <w:right w:w="108" w:type="dxa"/>
            </w:tcMar>
            <w:hideMark/>
          </w:tcPr>
          <w:p w14:paraId="2C002919"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31 December 2019</w:t>
            </w:r>
          </w:p>
        </w:tc>
        <w:tc>
          <w:tcPr>
            <w:tcW w:w="1382" w:type="dxa"/>
            <w:tcBorders>
              <w:top w:val="nil"/>
              <w:left w:val="nil"/>
              <w:bottom w:val="single" w:sz="8" w:space="0" w:color="auto"/>
              <w:right w:val="nil"/>
            </w:tcBorders>
            <w:tcMar>
              <w:top w:w="0" w:type="dxa"/>
              <w:left w:w="108" w:type="dxa"/>
              <w:bottom w:w="0" w:type="dxa"/>
              <w:right w:w="108" w:type="dxa"/>
            </w:tcMar>
            <w:hideMark/>
          </w:tcPr>
          <w:p w14:paraId="1D3565A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207" w:type="dxa"/>
            <w:tcBorders>
              <w:top w:val="nil"/>
              <w:left w:val="nil"/>
              <w:bottom w:val="single" w:sz="8" w:space="0" w:color="auto"/>
              <w:right w:val="nil"/>
            </w:tcBorders>
            <w:tcMar>
              <w:top w:w="0" w:type="dxa"/>
              <w:left w:w="108" w:type="dxa"/>
              <w:bottom w:w="0" w:type="dxa"/>
              <w:right w:w="108" w:type="dxa"/>
            </w:tcMar>
            <w:hideMark/>
          </w:tcPr>
          <w:p w14:paraId="2489424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148" w:type="dxa"/>
            <w:tcBorders>
              <w:top w:val="nil"/>
              <w:left w:val="nil"/>
              <w:bottom w:val="single" w:sz="8" w:space="0" w:color="auto"/>
              <w:right w:val="nil"/>
            </w:tcBorders>
            <w:tcMar>
              <w:top w:w="0" w:type="dxa"/>
              <w:left w:w="108" w:type="dxa"/>
              <w:bottom w:w="0" w:type="dxa"/>
              <w:right w:w="108" w:type="dxa"/>
            </w:tcMar>
            <w:hideMark/>
          </w:tcPr>
          <w:p w14:paraId="40C1A29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115" w:type="dxa"/>
            <w:tcBorders>
              <w:top w:val="nil"/>
              <w:left w:val="nil"/>
              <w:bottom w:val="single" w:sz="8" w:space="0" w:color="auto"/>
              <w:right w:val="nil"/>
            </w:tcBorders>
            <w:tcMar>
              <w:top w:w="0" w:type="dxa"/>
              <w:left w:w="108" w:type="dxa"/>
              <w:bottom w:w="0" w:type="dxa"/>
              <w:right w:w="108" w:type="dxa"/>
            </w:tcMar>
            <w:hideMark/>
          </w:tcPr>
          <w:p w14:paraId="5F878F8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r>
      <w:tr w:rsidR="006E5C07" w:rsidRPr="006E5C07" w14:paraId="067FFD63" w14:textId="77777777" w:rsidTr="006E5C07">
        <w:tc>
          <w:tcPr>
            <w:tcW w:w="1988" w:type="dxa"/>
            <w:tcMar>
              <w:top w:w="0" w:type="dxa"/>
              <w:left w:w="108" w:type="dxa"/>
              <w:bottom w:w="0" w:type="dxa"/>
              <w:right w:w="108" w:type="dxa"/>
            </w:tcMar>
            <w:hideMark/>
          </w:tcPr>
          <w:p w14:paraId="11562ACE"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At 31 December 2020</w:t>
            </w:r>
          </w:p>
        </w:tc>
        <w:tc>
          <w:tcPr>
            <w:tcW w:w="1382" w:type="dxa"/>
            <w:tcBorders>
              <w:top w:val="nil"/>
              <w:left w:val="nil"/>
              <w:bottom w:val="single" w:sz="12" w:space="0" w:color="auto"/>
              <w:right w:val="nil"/>
            </w:tcBorders>
            <w:tcMar>
              <w:top w:w="0" w:type="dxa"/>
              <w:left w:w="108" w:type="dxa"/>
              <w:bottom w:w="0" w:type="dxa"/>
              <w:right w:w="108" w:type="dxa"/>
            </w:tcMar>
            <w:hideMark/>
          </w:tcPr>
          <w:p w14:paraId="31B4E266"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1207" w:type="dxa"/>
            <w:tcBorders>
              <w:top w:val="nil"/>
              <w:left w:val="nil"/>
              <w:bottom w:val="single" w:sz="12" w:space="0" w:color="auto"/>
              <w:right w:val="nil"/>
            </w:tcBorders>
            <w:tcMar>
              <w:top w:w="0" w:type="dxa"/>
              <w:left w:w="108" w:type="dxa"/>
              <w:bottom w:w="0" w:type="dxa"/>
              <w:right w:w="108" w:type="dxa"/>
            </w:tcMar>
            <w:hideMark/>
          </w:tcPr>
          <w:p w14:paraId="035E3A6D"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1148" w:type="dxa"/>
            <w:tcBorders>
              <w:top w:val="nil"/>
              <w:left w:val="nil"/>
              <w:bottom w:val="single" w:sz="12" w:space="0" w:color="auto"/>
              <w:right w:val="nil"/>
            </w:tcBorders>
            <w:tcMar>
              <w:top w:w="0" w:type="dxa"/>
              <w:left w:w="108" w:type="dxa"/>
              <w:bottom w:w="0" w:type="dxa"/>
              <w:right w:w="108" w:type="dxa"/>
            </w:tcMar>
            <w:hideMark/>
          </w:tcPr>
          <w:p w14:paraId="50F41321"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c>
          <w:tcPr>
            <w:tcW w:w="1115" w:type="dxa"/>
            <w:tcBorders>
              <w:top w:val="nil"/>
              <w:left w:val="nil"/>
              <w:bottom w:val="single" w:sz="12" w:space="0" w:color="auto"/>
              <w:right w:val="nil"/>
            </w:tcBorders>
            <w:tcMar>
              <w:top w:w="0" w:type="dxa"/>
              <w:left w:w="108" w:type="dxa"/>
              <w:bottom w:w="0" w:type="dxa"/>
              <w:right w:w="108" w:type="dxa"/>
            </w:tcMar>
            <w:hideMark/>
          </w:tcPr>
          <w:p w14:paraId="3E8EC748"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w:t>
            </w:r>
          </w:p>
        </w:tc>
      </w:tr>
    </w:tbl>
    <w:p w14:paraId="7728657A"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63C9E118" w14:textId="77777777" w:rsidR="006E5C07" w:rsidRPr="006E5C07" w:rsidRDefault="006E5C07" w:rsidP="006E5C07">
      <w:pPr>
        <w:spacing w:after="200" w:line="253" w:lineRule="atLeast"/>
        <w:ind w:hanging="567"/>
        <w:rPr>
          <w:rFonts w:ascii="Calibri" w:eastAsia="Times New Roman" w:hAnsi="Calibri" w:cs="Calibri"/>
          <w:b/>
          <w:bCs/>
          <w:color w:val="16202C"/>
        </w:rPr>
      </w:pPr>
      <w:r w:rsidRPr="006E5C07">
        <w:rPr>
          <w:rFonts w:ascii="Gill Sans MT" w:eastAsia="Times New Roman" w:hAnsi="Gill Sans MT" w:cs="Calibri"/>
          <w:b/>
          <w:bCs/>
          <w:color w:val="16202C"/>
          <w:sz w:val="18"/>
          <w:szCs w:val="18"/>
        </w:rPr>
        <w:t>16.       Property, plant and equipment</w:t>
      </w:r>
    </w:p>
    <w:p w14:paraId="52CD4596"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Group movement in property, plant &amp; equipment assets was:</w:t>
      </w:r>
    </w:p>
    <w:p w14:paraId="27F36C9A" w14:textId="77777777" w:rsidR="006E5C07" w:rsidRPr="006E5C07" w:rsidRDefault="006E5C07" w:rsidP="006E5C07">
      <w:pPr>
        <w:spacing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9447" w:type="dxa"/>
        <w:tblInd w:w="-108" w:type="dxa"/>
        <w:tblCellMar>
          <w:left w:w="0" w:type="dxa"/>
          <w:right w:w="0" w:type="dxa"/>
        </w:tblCellMar>
        <w:tblLook w:val="04A0" w:firstRow="1" w:lastRow="0" w:firstColumn="1" w:lastColumn="0" w:noHBand="0" w:noVBand="1"/>
      </w:tblPr>
      <w:tblGrid>
        <w:gridCol w:w="2666"/>
        <w:gridCol w:w="1176"/>
        <w:gridCol w:w="1102"/>
        <w:gridCol w:w="1176"/>
        <w:gridCol w:w="1032"/>
        <w:gridCol w:w="1341"/>
        <w:gridCol w:w="954"/>
      </w:tblGrid>
      <w:tr w:rsidR="006E5C07" w:rsidRPr="006E5C07" w14:paraId="33010083" w14:textId="77777777" w:rsidTr="006E5C07">
        <w:tc>
          <w:tcPr>
            <w:tcW w:w="2239" w:type="dxa"/>
            <w:tcMar>
              <w:top w:w="0" w:type="dxa"/>
              <w:left w:w="108" w:type="dxa"/>
              <w:bottom w:w="0" w:type="dxa"/>
              <w:right w:w="108" w:type="dxa"/>
            </w:tcMar>
            <w:hideMark/>
          </w:tcPr>
          <w:p w14:paraId="409A1302"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Cost</w:t>
            </w:r>
          </w:p>
        </w:tc>
        <w:tc>
          <w:tcPr>
            <w:tcW w:w="988" w:type="dxa"/>
            <w:tcMar>
              <w:top w:w="0" w:type="dxa"/>
              <w:left w:w="108" w:type="dxa"/>
              <w:bottom w:w="0" w:type="dxa"/>
              <w:right w:w="108" w:type="dxa"/>
            </w:tcMar>
            <w:hideMark/>
          </w:tcPr>
          <w:p w14:paraId="71D7FD0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Plant &amp; equipment</w:t>
            </w:r>
          </w:p>
        </w:tc>
        <w:tc>
          <w:tcPr>
            <w:tcW w:w="926" w:type="dxa"/>
            <w:tcMar>
              <w:top w:w="0" w:type="dxa"/>
              <w:left w:w="108" w:type="dxa"/>
              <w:bottom w:w="0" w:type="dxa"/>
              <w:right w:w="108" w:type="dxa"/>
            </w:tcMar>
            <w:hideMark/>
          </w:tcPr>
          <w:p w14:paraId="061201E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Fixture &amp; fittings</w:t>
            </w:r>
          </w:p>
        </w:tc>
        <w:tc>
          <w:tcPr>
            <w:tcW w:w="988" w:type="dxa"/>
            <w:tcMar>
              <w:top w:w="0" w:type="dxa"/>
              <w:left w:w="108" w:type="dxa"/>
              <w:bottom w:w="0" w:type="dxa"/>
              <w:right w:w="108" w:type="dxa"/>
            </w:tcMar>
            <w:hideMark/>
          </w:tcPr>
          <w:p w14:paraId="7BE0D6F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Computer equipment</w:t>
            </w:r>
          </w:p>
        </w:tc>
        <w:tc>
          <w:tcPr>
            <w:tcW w:w="867" w:type="dxa"/>
            <w:tcMar>
              <w:top w:w="0" w:type="dxa"/>
              <w:left w:w="108" w:type="dxa"/>
              <w:bottom w:w="0" w:type="dxa"/>
              <w:right w:w="108" w:type="dxa"/>
            </w:tcMar>
            <w:hideMark/>
          </w:tcPr>
          <w:p w14:paraId="7BA36A7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Right of use assets property</w:t>
            </w:r>
          </w:p>
        </w:tc>
        <w:tc>
          <w:tcPr>
            <w:tcW w:w="1126" w:type="dxa"/>
            <w:tcMar>
              <w:top w:w="0" w:type="dxa"/>
              <w:left w:w="108" w:type="dxa"/>
              <w:bottom w:w="0" w:type="dxa"/>
              <w:right w:w="108" w:type="dxa"/>
            </w:tcMar>
            <w:hideMark/>
          </w:tcPr>
          <w:p w14:paraId="4739366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Right of use assets plant &amp; equipment</w:t>
            </w:r>
          </w:p>
        </w:tc>
        <w:tc>
          <w:tcPr>
            <w:tcW w:w="801" w:type="dxa"/>
            <w:tcMar>
              <w:top w:w="0" w:type="dxa"/>
              <w:left w:w="108" w:type="dxa"/>
              <w:bottom w:w="0" w:type="dxa"/>
              <w:right w:w="108" w:type="dxa"/>
            </w:tcMar>
            <w:hideMark/>
          </w:tcPr>
          <w:p w14:paraId="78E98E3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Total</w:t>
            </w:r>
          </w:p>
        </w:tc>
      </w:tr>
      <w:tr w:rsidR="006E5C07" w:rsidRPr="006E5C07" w14:paraId="3F8B5CF7" w14:textId="77777777" w:rsidTr="006E5C07">
        <w:tc>
          <w:tcPr>
            <w:tcW w:w="2239" w:type="dxa"/>
            <w:tcMar>
              <w:top w:w="0" w:type="dxa"/>
              <w:left w:w="108" w:type="dxa"/>
              <w:bottom w:w="0" w:type="dxa"/>
              <w:right w:w="108" w:type="dxa"/>
            </w:tcMar>
            <w:hideMark/>
          </w:tcPr>
          <w:p w14:paraId="487D6E3E" w14:textId="77777777" w:rsidR="006E5C07" w:rsidRPr="006E5C07" w:rsidRDefault="006E5C07" w:rsidP="006E5C07">
            <w:pPr>
              <w:spacing w:after="0" w:line="240" w:lineRule="auto"/>
              <w:rPr>
                <w:rFonts w:ascii="Calibri" w:eastAsia="Times New Roman" w:hAnsi="Calibri" w:cs="Calibri"/>
              </w:rPr>
            </w:pPr>
          </w:p>
        </w:tc>
        <w:tc>
          <w:tcPr>
            <w:tcW w:w="988" w:type="dxa"/>
            <w:tcMar>
              <w:top w:w="0" w:type="dxa"/>
              <w:left w:w="108" w:type="dxa"/>
              <w:bottom w:w="0" w:type="dxa"/>
              <w:right w:w="108" w:type="dxa"/>
            </w:tcMar>
            <w:hideMark/>
          </w:tcPr>
          <w:p w14:paraId="0EFB136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926" w:type="dxa"/>
            <w:tcMar>
              <w:top w:w="0" w:type="dxa"/>
              <w:left w:w="108" w:type="dxa"/>
              <w:bottom w:w="0" w:type="dxa"/>
              <w:right w:w="108" w:type="dxa"/>
            </w:tcMar>
            <w:hideMark/>
          </w:tcPr>
          <w:p w14:paraId="5123DF7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988" w:type="dxa"/>
            <w:tcMar>
              <w:top w:w="0" w:type="dxa"/>
              <w:left w:w="108" w:type="dxa"/>
              <w:bottom w:w="0" w:type="dxa"/>
              <w:right w:w="108" w:type="dxa"/>
            </w:tcMar>
            <w:hideMark/>
          </w:tcPr>
          <w:p w14:paraId="6841710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867" w:type="dxa"/>
            <w:tcMar>
              <w:top w:w="0" w:type="dxa"/>
              <w:left w:w="108" w:type="dxa"/>
              <w:bottom w:w="0" w:type="dxa"/>
              <w:right w:w="108" w:type="dxa"/>
            </w:tcMar>
            <w:hideMark/>
          </w:tcPr>
          <w:p w14:paraId="319B448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1126" w:type="dxa"/>
            <w:tcMar>
              <w:top w:w="0" w:type="dxa"/>
              <w:left w:w="108" w:type="dxa"/>
              <w:bottom w:w="0" w:type="dxa"/>
              <w:right w:w="108" w:type="dxa"/>
            </w:tcMar>
            <w:hideMark/>
          </w:tcPr>
          <w:p w14:paraId="2CA2024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801" w:type="dxa"/>
            <w:tcMar>
              <w:top w:w="0" w:type="dxa"/>
              <w:left w:w="108" w:type="dxa"/>
              <w:bottom w:w="0" w:type="dxa"/>
              <w:right w:w="108" w:type="dxa"/>
            </w:tcMar>
            <w:hideMark/>
          </w:tcPr>
          <w:p w14:paraId="5E3F5AC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25778E4D" w14:textId="77777777" w:rsidTr="006E5C07">
        <w:tc>
          <w:tcPr>
            <w:tcW w:w="2239" w:type="dxa"/>
            <w:tcMar>
              <w:top w:w="0" w:type="dxa"/>
              <w:left w:w="108" w:type="dxa"/>
              <w:bottom w:w="0" w:type="dxa"/>
              <w:right w:w="108" w:type="dxa"/>
            </w:tcMar>
            <w:hideMark/>
          </w:tcPr>
          <w:p w14:paraId="607A382F" w14:textId="77777777" w:rsidR="006E5C07" w:rsidRPr="006E5C07" w:rsidRDefault="006E5C07" w:rsidP="006E5C07">
            <w:pPr>
              <w:spacing w:after="0" w:line="240" w:lineRule="auto"/>
              <w:rPr>
                <w:rFonts w:ascii="Calibri" w:eastAsia="Times New Roman" w:hAnsi="Calibri" w:cs="Calibri"/>
              </w:rPr>
            </w:pPr>
          </w:p>
        </w:tc>
        <w:tc>
          <w:tcPr>
            <w:tcW w:w="988" w:type="dxa"/>
            <w:tcMar>
              <w:top w:w="0" w:type="dxa"/>
              <w:left w:w="108" w:type="dxa"/>
              <w:bottom w:w="0" w:type="dxa"/>
              <w:right w:w="108" w:type="dxa"/>
            </w:tcMar>
            <w:hideMark/>
          </w:tcPr>
          <w:p w14:paraId="4BCA55B7" w14:textId="77777777" w:rsidR="006E5C07" w:rsidRPr="006E5C07" w:rsidRDefault="006E5C07" w:rsidP="006E5C07">
            <w:pPr>
              <w:spacing w:after="0" w:line="240" w:lineRule="auto"/>
              <w:jc w:val="right"/>
              <w:rPr>
                <w:rFonts w:ascii="Calibri" w:eastAsia="Times New Roman" w:hAnsi="Calibri" w:cs="Calibri"/>
              </w:rPr>
            </w:pPr>
          </w:p>
        </w:tc>
        <w:tc>
          <w:tcPr>
            <w:tcW w:w="926" w:type="dxa"/>
            <w:tcMar>
              <w:top w:w="0" w:type="dxa"/>
              <w:left w:w="108" w:type="dxa"/>
              <w:bottom w:w="0" w:type="dxa"/>
              <w:right w:w="108" w:type="dxa"/>
            </w:tcMar>
            <w:hideMark/>
          </w:tcPr>
          <w:p w14:paraId="2C4723E0" w14:textId="77777777" w:rsidR="006E5C07" w:rsidRPr="006E5C07" w:rsidRDefault="006E5C07" w:rsidP="006E5C07">
            <w:pPr>
              <w:spacing w:after="0" w:line="240" w:lineRule="auto"/>
              <w:jc w:val="right"/>
              <w:rPr>
                <w:rFonts w:ascii="Calibri" w:eastAsia="Times New Roman" w:hAnsi="Calibri" w:cs="Calibri"/>
              </w:rPr>
            </w:pPr>
          </w:p>
        </w:tc>
        <w:tc>
          <w:tcPr>
            <w:tcW w:w="988" w:type="dxa"/>
            <w:tcMar>
              <w:top w:w="0" w:type="dxa"/>
              <w:left w:w="108" w:type="dxa"/>
              <w:bottom w:w="0" w:type="dxa"/>
              <w:right w:w="108" w:type="dxa"/>
            </w:tcMar>
            <w:hideMark/>
          </w:tcPr>
          <w:p w14:paraId="40380C69" w14:textId="77777777" w:rsidR="006E5C07" w:rsidRPr="006E5C07" w:rsidRDefault="006E5C07" w:rsidP="006E5C07">
            <w:pPr>
              <w:spacing w:after="0" w:line="240" w:lineRule="auto"/>
              <w:jc w:val="right"/>
              <w:rPr>
                <w:rFonts w:ascii="Calibri" w:eastAsia="Times New Roman" w:hAnsi="Calibri" w:cs="Calibri"/>
              </w:rPr>
            </w:pPr>
          </w:p>
        </w:tc>
        <w:tc>
          <w:tcPr>
            <w:tcW w:w="867" w:type="dxa"/>
            <w:tcMar>
              <w:top w:w="0" w:type="dxa"/>
              <w:left w:w="108" w:type="dxa"/>
              <w:bottom w:w="0" w:type="dxa"/>
              <w:right w:w="108" w:type="dxa"/>
            </w:tcMar>
            <w:hideMark/>
          </w:tcPr>
          <w:p w14:paraId="4140EF49" w14:textId="77777777" w:rsidR="006E5C07" w:rsidRPr="006E5C07" w:rsidRDefault="006E5C07" w:rsidP="006E5C07">
            <w:pPr>
              <w:spacing w:after="0" w:line="240" w:lineRule="auto"/>
              <w:jc w:val="right"/>
              <w:rPr>
                <w:rFonts w:ascii="Calibri" w:eastAsia="Times New Roman" w:hAnsi="Calibri" w:cs="Calibri"/>
              </w:rPr>
            </w:pPr>
          </w:p>
        </w:tc>
        <w:tc>
          <w:tcPr>
            <w:tcW w:w="1126" w:type="dxa"/>
            <w:tcMar>
              <w:top w:w="0" w:type="dxa"/>
              <w:left w:w="108" w:type="dxa"/>
              <w:bottom w:w="0" w:type="dxa"/>
              <w:right w:w="108" w:type="dxa"/>
            </w:tcMar>
            <w:hideMark/>
          </w:tcPr>
          <w:p w14:paraId="7328A6DF" w14:textId="77777777" w:rsidR="006E5C07" w:rsidRPr="006E5C07" w:rsidRDefault="006E5C07" w:rsidP="006E5C07">
            <w:pPr>
              <w:spacing w:after="0" w:line="240" w:lineRule="auto"/>
              <w:jc w:val="right"/>
              <w:rPr>
                <w:rFonts w:ascii="Calibri" w:eastAsia="Times New Roman" w:hAnsi="Calibri" w:cs="Calibri"/>
              </w:rPr>
            </w:pPr>
          </w:p>
        </w:tc>
        <w:tc>
          <w:tcPr>
            <w:tcW w:w="801" w:type="dxa"/>
            <w:tcMar>
              <w:top w:w="0" w:type="dxa"/>
              <w:left w:w="108" w:type="dxa"/>
              <w:bottom w:w="0" w:type="dxa"/>
              <w:right w:w="108" w:type="dxa"/>
            </w:tcMar>
            <w:hideMark/>
          </w:tcPr>
          <w:p w14:paraId="7996B3AB"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34C8847A" w14:textId="77777777" w:rsidTr="006E5C07">
        <w:tc>
          <w:tcPr>
            <w:tcW w:w="2239" w:type="dxa"/>
            <w:tcMar>
              <w:top w:w="0" w:type="dxa"/>
              <w:left w:w="108" w:type="dxa"/>
              <w:bottom w:w="0" w:type="dxa"/>
              <w:right w:w="108" w:type="dxa"/>
            </w:tcMar>
            <w:hideMark/>
          </w:tcPr>
          <w:p w14:paraId="769AD817"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31 December 2018</w:t>
            </w:r>
          </w:p>
        </w:tc>
        <w:tc>
          <w:tcPr>
            <w:tcW w:w="988" w:type="dxa"/>
            <w:tcBorders>
              <w:top w:val="single" w:sz="8" w:space="0" w:color="auto"/>
              <w:left w:val="nil"/>
              <w:bottom w:val="nil"/>
              <w:right w:val="nil"/>
            </w:tcBorders>
            <w:tcMar>
              <w:top w:w="0" w:type="dxa"/>
              <w:left w:w="108" w:type="dxa"/>
              <w:bottom w:w="0" w:type="dxa"/>
              <w:right w:w="108" w:type="dxa"/>
            </w:tcMar>
            <w:hideMark/>
          </w:tcPr>
          <w:p w14:paraId="2D60EC6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3,054</w:t>
            </w:r>
          </w:p>
        </w:tc>
        <w:tc>
          <w:tcPr>
            <w:tcW w:w="926" w:type="dxa"/>
            <w:tcBorders>
              <w:top w:val="single" w:sz="8" w:space="0" w:color="auto"/>
              <w:left w:val="nil"/>
              <w:bottom w:val="nil"/>
              <w:right w:val="nil"/>
            </w:tcBorders>
            <w:tcMar>
              <w:top w:w="0" w:type="dxa"/>
              <w:left w:w="108" w:type="dxa"/>
              <w:bottom w:w="0" w:type="dxa"/>
              <w:right w:w="108" w:type="dxa"/>
            </w:tcMar>
            <w:hideMark/>
          </w:tcPr>
          <w:p w14:paraId="7A5B1E6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286</w:t>
            </w:r>
          </w:p>
        </w:tc>
        <w:tc>
          <w:tcPr>
            <w:tcW w:w="988" w:type="dxa"/>
            <w:tcBorders>
              <w:top w:val="single" w:sz="8" w:space="0" w:color="auto"/>
              <w:left w:val="nil"/>
              <w:bottom w:val="nil"/>
              <w:right w:val="nil"/>
            </w:tcBorders>
            <w:tcMar>
              <w:top w:w="0" w:type="dxa"/>
              <w:left w:w="108" w:type="dxa"/>
              <w:bottom w:w="0" w:type="dxa"/>
              <w:right w:w="108" w:type="dxa"/>
            </w:tcMar>
            <w:hideMark/>
          </w:tcPr>
          <w:p w14:paraId="14A9A16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766</w:t>
            </w:r>
          </w:p>
        </w:tc>
        <w:tc>
          <w:tcPr>
            <w:tcW w:w="867" w:type="dxa"/>
            <w:tcBorders>
              <w:top w:val="single" w:sz="8" w:space="0" w:color="auto"/>
              <w:left w:val="nil"/>
              <w:bottom w:val="nil"/>
              <w:right w:val="nil"/>
            </w:tcBorders>
            <w:tcMar>
              <w:top w:w="0" w:type="dxa"/>
              <w:left w:w="108" w:type="dxa"/>
              <w:bottom w:w="0" w:type="dxa"/>
              <w:right w:w="108" w:type="dxa"/>
            </w:tcMar>
            <w:hideMark/>
          </w:tcPr>
          <w:p w14:paraId="4AA25D9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126" w:type="dxa"/>
            <w:tcBorders>
              <w:top w:val="single" w:sz="8" w:space="0" w:color="auto"/>
              <w:left w:val="nil"/>
              <w:bottom w:val="nil"/>
              <w:right w:val="nil"/>
            </w:tcBorders>
            <w:tcMar>
              <w:top w:w="0" w:type="dxa"/>
              <w:left w:w="108" w:type="dxa"/>
              <w:bottom w:w="0" w:type="dxa"/>
              <w:right w:w="108" w:type="dxa"/>
            </w:tcMar>
            <w:hideMark/>
          </w:tcPr>
          <w:p w14:paraId="51EE1E6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801" w:type="dxa"/>
            <w:tcBorders>
              <w:top w:val="single" w:sz="8" w:space="0" w:color="auto"/>
              <w:left w:val="nil"/>
              <w:bottom w:val="nil"/>
              <w:right w:val="nil"/>
            </w:tcBorders>
            <w:tcMar>
              <w:top w:w="0" w:type="dxa"/>
              <w:left w:w="108" w:type="dxa"/>
              <w:bottom w:w="0" w:type="dxa"/>
              <w:right w:w="108" w:type="dxa"/>
            </w:tcMar>
            <w:hideMark/>
          </w:tcPr>
          <w:p w14:paraId="37117BD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4,106</w:t>
            </w:r>
          </w:p>
        </w:tc>
      </w:tr>
      <w:tr w:rsidR="006E5C07" w:rsidRPr="006E5C07" w14:paraId="46FE1940" w14:textId="77777777" w:rsidTr="006E5C07">
        <w:tc>
          <w:tcPr>
            <w:tcW w:w="2239" w:type="dxa"/>
            <w:tcMar>
              <w:top w:w="0" w:type="dxa"/>
              <w:left w:w="108" w:type="dxa"/>
              <w:bottom w:w="0" w:type="dxa"/>
              <w:right w:w="108" w:type="dxa"/>
            </w:tcMar>
            <w:hideMark/>
          </w:tcPr>
          <w:p w14:paraId="0B8F1DF5"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Additions on application of IFRS 16</w:t>
            </w:r>
          </w:p>
        </w:tc>
        <w:tc>
          <w:tcPr>
            <w:tcW w:w="988" w:type="dxa"/>
            <w:tcBorders>
              <w:top w:val="single" w:sz="8" w:space="0" w:color="auto"/>
              <w:left w:val="nil"/>
              <w:bottom w:val="nil"/>
              <w:right w:val="nil"/>
            </w:tcBorders>
            <w:tcMar>
              <w:top w:w="0" w:type="dxa"/>
              <w:left w:w="108" w:type="dxa"/>
              <w:bottom w:w="0" w:type="dxa"/>
              <w:right w:w="108" w:type="dxa"/>
            </w:tcMar>
            <w:hideMark/>
          </w:tcPr>
          <w:p w14:paraId="0C7CE71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2EBB3CB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926" w:type="dxa"/>
            <w:tcBorders>
              <w:top w:val="single" w:sz="8" w:space="0" w:color="auto"/>
              <w:left w:val="nil"/>
              <w:bottom w:val="nil"/>
              <w:right w:val="nil"/>
            </w:tcBorders>
            <w:tcMar>
              <w:top w:w="0" w:type="dxa"/>
              <w:left w:w="108" w:type="dxa"/>
              <w:bottom w:w="0" w:type="dxa"/>
              <w:right w:w="108" w:type="dxa"/>
            </w:tcMar>
            <w:hideMark/>
          </w:tcPr>
          <w:p w14:paraId="6014477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0507638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988" w:type="dxa"/>
            <w:tcBorders>
              <w:top w:val="single" w:sz="8" w:space="0" w:color="auto"/>
              <w:left w:val="nil"/>
              <w:bottom w:val="nil"/>
              <w:right w:val="nil"/>
            </w:tcBorders>
            <w:tcMar>
              <w:top w:w="0" w:type="dxa"/>
              <w:left w:w="108" w:type="dxa"/>
              <w:bottom w:w="0" w:type="dxa"/>
              <w:right w:w="108" w:type="dxa"/>
            </w:tcMar>
            <w:hideMark/>
          </w:tcPr>
          <w:p w14:paraId="0782C33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3E88925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867" w:type="dxa"/>
            <w:tcBorders>
              <w:top w:val="single" w:sz="8" w:space="0" w:color="auto"/>
              <w:left w:val="nil"/>
              <w:bottom w:val="nil"/>
              <w:right w:val="nil"/>
            </w:tcBorders>
            <w:tcMar>
              <w:top w:w="0" w:type="dxa"/>
              <w:left w:w="108" w:type="dxa"/>
              <w:bottom w:w="0" w:type="dxa"/>
              <w:right w:w="108" w:type="dxa"/>
            </w:tcMar>
            <w:hideMark/>
          </w:tcPr>
          <w:p w14:paraId="1861E5C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7EB8A72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243</w:t>
            </w:r>
          </w:p>
        </w:tc>
        <w:tc>
          <w:tcPr>
            <w:tcW w:w="1126" w:type="dxa"/>
            <w:tcBorders>
              <w:top w:val="single" w:sz="8" w:space="0" w:color="auto"/>
              <w:left w:val="nil"/>
              <w:bottom w:val="nil"/>
              <w:right w:val="nil"/>
            </w:tcBorders>
            <w:tcMar>
              <w:top w:w="0" w:type="dxa"/>
              <w:left w:w="108" w:type="dxa"/>
              <w:bottom w:w="0" w:type="dxa"/>
              <w:right w:w="108" w:type="dxa"/>
            </w:tcMar>
            <w:hideMark/>
          </w:tcPr>
          <w:p w14:paraId="0CF2902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5090757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85</w:t>
            </w:r>
          </w:p>
        </w:tc>
        <w:tc>
          <w:tcPr>
            <w:tcW w:w="801" w:type="dxa"/>
            <w:tcBorders>
              <w:top w:val="single" w:sz="8" w:space="0" w:color="auto"/>
              <w:left w:val="nil"/>
              <w:bottom w:val="nil"/>
              <w:right w:val="nil"/>
            </w:tcBorders>
            <w:tcMar>
              <w:top w:w="0" w:type="dxa"/>
              <w:left w:w="108" w:type="dxa"/>
              <w:bottom w:w="0" w:type="dxa"/>
              <w:right w:w="108" w:type="dxa"/>
            </w:tcMar>
            <w:hideMark/>
          </w:tcPr>
          <w:p w14:paraId="50F64B0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13A89F9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328</w:t>
            </w:r>
          </w:p>
        </w:tc>
      </w:tr>
      <w:tr w:rsidR="006E5C07" w:rsidRPr="006E5C07" w14:paraId="6F73A655" w14:textId="77777777" w:rsidTr="006E5C07">
        <w:tc>
          <w:tcPr>
            <w:tcW w:w="2239" w:type="dxa"/>
            <w:tcMar>
              <w:top w:w="0" w:type="dxa"/>
              <w:left w:w="108" w:type="dxa"/>
              <w:bottom w:w="0" w:type="dxa"/>
              <w:right w:w="108" w:type="dxa"/>
            </w:tcMar>
            <w:hideMark/>
          </w:tcPr>
          <w:p w14:paraId="1D1B8019"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Additions</w:t>
            </w:r>
          </w:p>
        </w:tc>
        <w:tc>
          <w:tcPr>
            <w:tcW w:w="988" w:type="dxa"/>
            <w:tcMar>
              <w:top w:w="0" w:type="dxa"/>
              <w:left w:w="108" w:type="dxa"/>
              <w:bottom w:w="0" w:type="dxa"/>
              <w:right w:w="108" w:type="dxa"/>
            </w:tcMar>
            <w:hideMark/>
          </w:tcPr>
          <w:p w14:paraId="430DFC6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926" w:type="dxa"/>
            <w:tcMar>
              <w:top w:w="0" w:type="dxa"/>
              <w:left w:w="108" w:type="dxa"/>
              <w:bottom w:w="0" w:type="dxa"/>
              <w:right w:w="108" w:type="dxa"/>
            </w:tcMar>
            <w:hideMark/>
          </w:tcPr>
          <w:p w14:paraId="0A97B8A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w:t>
            </w:r>
          </w:p>
        </w:tc>
        <w:tc>
          <w:tcPr>
            <w:tcW w:w="988" w:type="dxa"/>
            <w:tcMar>
              <w:top w:w="0" w:type="dxa"/>
              <w:left w:w="108" w:type="dxa"/>
              <w:bottom w:w="0" w:type="dxa"/>
              <w:right w:w="108" w:type="dxa"/>
            </w:tcMar>
            <w:hideMark/>
          </w:tcPr>
          <w:p w14:paraId="7994C1D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43</w:t>
            </w:r>
          </w:p>
        </w:tc>
        <w:tc>
          <w:tcPr>
            <w:tcW w:w="867" w:type="dxa"/>
            <w:tcMar>
              <w:top w:w="0" w:type="dxa"/>
              <w:left w:w="108" w:type="dxa"/>
              <w:bottom w:w="0" w:type="dxa"/>
              <w:right w:w="108" w:type="dxa"/>
            </w:tcMar>
            <w:hideMark/>
          </w:tcPr>
          <w:p w14:paraId="5ADCBAF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177</w:t>
            </w:r>
          </w:p>
        </w:tc>
        <w:tc>
          <w:tcPr>
            <w:tcW w:w="1126" w:type="dxa"/>
            <w:tcMar>
              <w:top w:w="0" w:type="dxa"/>
              <w:left w:w="108" w:type="dxa"/>
              <w:bottom w:w="0" w:type="dxa"/>
              <w:right w:w="108" w:type="dxa"/>
            </w:tcMar>
            <w:hideMark/>
          </w:tcPr>
          <w:p w14:paraId="60FD13D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52</w:t>
            </w:r>
          </w:p>
        </w:tc>
        <w:tc>
          <w:tcPr>
            <w:tcW w:w="801" w:type="dxa"/>
            <w:tcMar>
              <w:top w:w="0" w:type="dxa"/>
              <w:left w:w="108" w:type="dxa"/>
              <w:bottom w:w="0" w:type="dxa"/>
              <w:right w:w="108" w:type="dxa"/>
            </w:tcMar>
            <w:hideMark/>
          </w:tcPr>
          <w:p w14:paraId="67EFA40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276</w:t>
            </w:r>
          </w:p>
        </w:tc>
      </w:tr>
      <w:tr w:rsidR="006E5C07" w:rsidRPr="006E5C07" w14:paraId="592F6767" w14:textId="77777777" w:rsidTr="006E5C07">
        <w:tc>
          <w:tcPr>
            <w:tcW w:w="2239" w:type="dxa"/>
            <w:tcMar>
              <w:top w:w="0" w:type="dxa"/>
              <w:left w:w="108" w:type="dxa"/>
              <w:bottom w:w="0" w:type="dxa"/>
              <w:right w:w="108" w:type="dxa"/>
            </w:tcMar>
            <w:hideMark/>
          </w:tcPr>
          <w:p w14:paraId="42C1014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Forex</w:t>
            </w:r>
          </w:p>
        </w:tc>
        <w:tc>
          <w:tcPr>
            <w:tcW w:w="988" w:type="dxa"/>
            <w:tcBorders>
              <w:top w:val="nil"/>
              <w:left w:val="nil"/>
              <w:bottom w:val="single" w:sz="8" w:space="0" w:color="auto"/>
              <w:right w:val="nil"/>
            </w:tcBorders>
            <w:tcMar>
              <w:top w:w="0" w:type="dxa"/>
              <w:left w:w="108" w:type="dxa"/>
              <w:bottom w:w="0" w:type="dxa"/>
              <w:right w:w="108" w:type="dxa"/>
            </w:tcMar>
            <w:hideMark/>
          </w:tcPr>
          <w:p w14:paraId="015A673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(8)</w:t>
            </w:r>
          </w:p>
        </w:tc>
        <w:tc>
          <w:tcPr>
            <w:tcW w:w="926" w:type="dxa"/>
            <w:tcBorders>
              <w:top w:val="nil"/>
              <w:left w:val="nil"/>
              <w:bottom w:val="single" w:sz="8" w:space="0" w:color="auto"/>
              <w:right w:val="nil"/>
            </w:tcBorders>
            <w:tcMar>
              <w:top w:w="0" w:type="dxa"/>
              <w:left w:w="108" w:type="dxa"/>
              <w:bottom w:w="0" w:type="dxa"/>
              <w:right w:w="108" w:type="dxa"/>
            </w:tcMar>
            <w:hideMark/>
          </w:tcPr>
          <w:p w14:paraId="043791B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988" w:type="dxa"/>
            <w:tcBorders>
              <w:top w:val="nil"/>
              <w:left w:val="nil"/>
              <w:bottom w:val="single" w:sz="8" w:space="0" w:color="auto"/>
              <w:right w:val="nil"/>
            </w:tcBorders>
            <w:tcMar>
              <w:top w:w="0" w:type="dxa"/>
              <w:left w:w="108" w:type="dxa"/>
              <w:bottom w:w="0" w:type="dxa"/>
              <w:right w:w="108" w:type="dxa"/>
            </w:tcMar>
            <w:hideMark/>
          </w:tcPr>
          <w:p w14:paraId="62DCD07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867" w:type="dxa"/>
            <w:tcBorders>
              <w:top w:val="nil"/>
              <w:left w:val="nil"/>
              <w:bottom w:val="single" w:sz="8" w:space="0" w:color="auto"/>
              <w:right w:val="nil"/>
            </w:tcBorders>
            <w:tcMar>
              <w:top w:w="0" w:type="dxa"/>
              <w:left w:w="108" w:type="dxa"/>
              <w:bottom w:w="0" w:type="dxa"/>
              <w:right w:w="108" w:type="dxa"/>
            </w:tcMar>
            <w:hideMark/>
          </w:tcPr>
          <w:p w14:paraId="4C35A40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126" w:type="dxa"/>
            <w:tcBorders>
              <w:top w:val="nil"/>
              <w:left w:val="nil"/>
              <w:bottom w:val="single" w:sz="8" w:space="0" w:color="auto"/>
              <w:right w:val="nil"/>
            </w:tcBorders>
            <w:tcMar>
              <w:top w:w="0" w:type="dxa"/>
              <w:left w:w="108" w:type="dxa"/>
              <w:bottom w:w="0" w:type="dxa"/>
              <w:right w:w="108" w:type="dxa"/>
            </w:tcMar>
            <w:hideMark/>
          </w:tcPr>
          <w:p w14:paraId="40E174E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801" w:type="dxa"/>
            <w:tcBorders>
              <w:top w:val="nil"/>
              <w:left w:val="nil"/>
              <w:bottom w:val="single" w:sz="8" w:space="0" w:color="auto"/>
              <w:right w:val="nil"/>
            </w:tcBorders>
            <w:tcMar>
              <w:top w:w="0" w:type="dxa"/>
              <w:left w:w="108" w:type="dxa"/>
              <w:bottom w:w="0" w:type="dxa"/>
              <w:right w:w="108" w:type="dxa"/>
            </w:tcMar>
            <w:hideMark/>
          </w:tcPr>
          <w:p w14:paraId="244DD69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(8)</w:t>
            </w:r>
          </w:p>
        </w:tc>
      </w:tr>
      <w:tr w:rsidR="006E5C07" w:rsidRPr="006E5C07" w14:paraId="41DF1B99" w14:textId="77777777" w:rsidTr="006E5C07">
        <w:tc>
          <w:tcPr>
            <w:tcW w:w="2239" w:type="dxa"/>
            <w:tcMar>
              <w:top w:w="0" w:type="dxa"/>
              <w:left w:w="108" w:type="dxa"/>
              <w:bottom w:w="0" w:type="dxa"/>
              <w:right w:w="108" w:type="dxa"/>
            </w:tcMar>
            <w:hideMark/>
          </w:tcPr>
          <w:p w14:paraId="0A9ECBDD"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31 December 2019</w:t>
            </w:r>
          </w:p>
        </w:tc>
        <w:tc>
          <w:tcPr>
            <w:tcW w:w="988" w:type="dxa"/>
            <w:tcBorders>
              <w:top w:val="nil"/>
              <w:left w:val="nil"/>
              <w:bottom w:val="single" w:sz="8" w:space="0" w:color="auto"/>
              <w:right w:val="nil"/>
            </w:tcBorders>
            <w:tcMar>
              <w:top w:w="0" w:type="dxa"/>
              <w:left w:w="108" w:type="dxa"/>
              <w:bottom w:w="0" w:type="dxa"/>
              <w:right w:w="108" w:type="dxa"/>
            </w:tcMar>
            <w:hideMark/>
          </w:tcPr>
          <w:p w14:paraId="08FF90EA"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3,046</w:t>
            </w:r>
          </w:p>
        </w:tc>
        <w:tc>
          <w:tcPr>
            <w:tcW w:w="926" w:type="dxa"/>
            <w:tcBorders>
              <w:top w:val="nil"/>
              <w:left w:val="nil"/>
              <w:bottom w:val="single" w:sz="8" w:space="0" w:color="auto"/>
              <w:right w:val="nil"/>
            </w:tcBorders>
            <w:tcMar>
              <w:top w:w="0" w:type="dxa"/>
              <w:left w:w="108" w:type="dxa"/>
              <w:bottom w:w="0" w:type="dxa"/>
              <w:right w:w="108" w:type="dxa"/>
            </w:tcMar>
            <w:hideMark/>
          </w:tcPr>
          <w:p w14:paraId="4F671A41"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290</w:t>
            </w:r>
          </w:p>
        </w:tc>
        <w:tc>
          <w:tcPr>
            <w:tcW w:w="988" w:type="dxa"/>
            <w:tcBorders>
              <w:top w:val="nil"/>
              <w:left w:val="nil"/>
              <w:bottom w:val="single" w:sz="8" w:space="0" w:color="auto"/>
              <w:right w:val="nil"/>
            </w:tcBorders>
            <w:tcMar>
              <w:top w:w="0" w:type="dxa"/>
              <w:left w:w="108" w:type="dxa"/>
              <w:bottom w:w="0" w:type="dxa"/>
              <w:right w:w="108" w:type="dxa"/>
            </w:tcMar>
            <w:hideMark/>
          </w:tcPr>
          <w:p w14:paraId="416700C3"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809</w:t>
            </w:r>
          </w:p>
        </w:tc>
        <w:tc>
          <w:tcPr>
            <w:tcW w:w="867" w:type="dxa"/>
            <w:tcBorders>
              <w:top w:val="nil"/>
              <w:left w:val="nil"/>
              <w:bottom w:val="single" w:sz="8" w:space="0" w:color="auto"/>
              <w:right w:val="nil"/>
            </w:tcBorders>
            <w:tcMar>
              <w:top w:w="0" w:type="dxa"/>
              <w:left w:w="108" w:type="dxa"/>
              <w:bottom w:w="0" w:type="dxa"/>
              <w:right w:w="108" w:type="dxa"/>
            </w:tcMar>
            <w:hideMark/>
          </w:tcPr>
          <w:p w14:paraId="279507D1"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420</w:t>
            </w:r>
          </w:p>
        </w:tc>
        <w:tc>
          <w:tcPr>
            <w:tcW w:w="1126" w:type="dxa"/>
            <w:tcBorders>
              <w:top w:val="nil"/>
              <w:left w:val="nil"/>
              <w:bottom w:val="single" w:sz="8" w:space="0" w:color="auto"/>
              <w:right w:val="nil"/>
            </w:tcBorders>
            <w:tcMar>
              <w:top w:w="0" w:type="dxa"/>
              <w:left w:w="108" w:type="dxa"/>
              <w:bottom w:w="0" w:type="dxa"/>
              <w:right w:w="108" w:type="dxa"/>
            </w:tcMar>
            <w:hideMark/>
          </w:tcPr>
          <w:p w14:paraId="1B59A1A3"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137</w:t>
            </w:r>
          </w:p>
        </w:tc>
        <w:tc>
          <w:tcPr>
            <w:tcW w:w="801" w:type="dxa"/>
            <w:tcBorders>
              <w:top w:val="nil"/>
              <w:left w:val="nil"/>
              <w:bottom w:val="single" w:sz="8" w:space="0" w:color="auto"/>
              <w:right w:val="nil"/>
            </w:tcBorders>
            <w:tcMar>
              <w:top w:w="0" w:type="dxa"/>
              <w:left w:w="108" w:type="dxa"/>
              <w:bottom w:w="0" w:type="dxa"/>
              <w:right w:w="108" w:type="dxa"/>
            </w:tcMar>
            <w:hideMark/>
          </w:tcPr>
          <w:p w14:paraId="589AB358"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4,702</w:t>
            </w:r>
          </w:p>
        </w:tc>
      </w:tr>
      <w:tr w:rsidR="006E5C07" w:rsidRPr="006E5C07" w14:paraId="2EBB417F" w14:textId="77777777" w:rsidTr="006E5C07">
        <w:tc>
          <w:tcPr>
            <w:tcW w:w="2239" w:type="dxa"/>
            <w:tcMar>
              <w:top w:w="0" w:type="dxa"/>
              <w:left w:w="108" w:type="dxa"/>
              <w:bottom w:w="0" w:type="dxa"/>
              <w:right w:w="108" w:type="dxa"/>
            </w:tcMar>
            <w:hideMark/>
          </w:tcPr>
          <w:p w14:paraId="27329440" w14:textId="77777777" w:rsidR="006E5C07" w:rsidRPr="006E5C07" w:rsidRDefault="006E5C07" w:rsidP="006E5C07">
            <w:pPr>
              <w:spacing w:after="0" w:line="240" w:lineRule="auto"/>
              <w:rPr>
                <w:rFonts w:ascii="Calibri" w:eastAsia="Times New Roman" w:hAnsi="Calibri" w:cs="Calibri"/>
              </w:rPr>
            </w:pPr>
          </w:p>
        </w:tc>
        <w:tc>
          <w:tcPr>
            <w:tcW w:w="988" w:type="dxa"/>
            <w:tcBorders>
              <w:top w:val="nil"/>
              <w:left w:val="nil"/>
              <w:bottom w:val="nil"/>
              <w:right w:val="nil"/>
            </w:tcBorders>
            <w:tcMar>
              <w:top w:w="0" w:type="dxa"/>
              <w:left w:w="108" w:type="dxa"/>
              <w:bottom w:w="0" w:type="dxa"/>
              <w:right w:w="108" w:type="dxa"/>
            </w:tcMar>
            <w:hideMark/>
          </w:tcPr>
          <w:p w14:paraId="5A6E22A8" w14:textId="77777777" w:rsidR="006E5C07" w:rsidRPr="006E5C07" w:rsidRDefault="006E5C07" w:rsidP="006E5C07">
            <w:pPr>
              <w:spacing w:after="0" w:line="240" w:lineRule="auto"/>
              <w:jc w:val="right"/>
              <w:rPr>
                <w:rFonts w:ascii="Calibri" w:eastAsia="Times New Roman" w:hAnsi="Calibri" w:cs="Calibri"/>
              </w:rPr>
            </w:pPr>
          </w:p>
        </w:tc>
        <w:tc>
          <w:tcPr>
            <w:tcW w:w="926" w:type="dxa"/>
            <w:tcBorders>
              <w:top w:val="nil"/>
              <w:left w:val="nil"/>
              <w:bottom w:val="nil"/>
              <w:right w:val="nil"/>
            </w:tcBorders>
            <w:tcMar>
              <w:top w:w="0" w:type="dxa"/>
              <w:left w:w="108" w:type="dxa"/>
              <w:bottom w:w="0" w:type="dxa"/>
              <w:right w:w="108" w:type="dxa"/>
            </w:tcMar>
            <w:hideMark/>
          </w:tcPr>
          <w:p w14:paraId="4E3464D7" w14:textId="77777777" w:rsidR="006E5C07" w:rsidRPr="006E5C07" w:rsidRDefault="006E5C07" w:rsidP="006E5C07">
            <w:pPr>
              <w:spacing w:after="0" w:line="240" w:lineRule="auto"/>
              <w:jc w:val="right"/>
              <w:rPr>
                <w:rFonts w:ascii="Calibri" w:eastAsia="Times New Roman" w:hAnsi="Calibri" w:cs="Calibri"/>
              </w:rPr>
            </w:pPr>
          </w:p>
        </w:tc>
        <w:tc>
          <w:tcPr>
            <w:tcW w:w="988" w:type="dxa"/>
            <w:tcBorders>
              <w:top w:val="nil"/>
              <w:left w:val="nil"/>
              <w:bottom w:val="nil"/>
              <w:right w:val="nil"/>
            </w:tcBorders>
            <w:tcMar>
              <w:top w:w="0" w:type="dxa"/>
              <w:left w:w="108" w:type="dxa"/>
              <w:bottom w:w="0" w:type="dxa"/>
              <w:right w:w="108" w:type="dxa"/>
            </w:tcMar>
            <w:hideMark/>
          </w:tcPr>
          <w:p w14:paraId="4B0D75D4" w14:textId="77777777" w:rsidR="006E5C07" w:rsidRPr="006E5C07" w:rsidRDefault="006E5C07" w:rsidP="006E5C07">
            <w:pPr>
              <w:spacing w:after="0" w:line="240" w:lineRule="auto"/>
              <w:jc w:val="right"/>
              <w:rPr>
                <w:rFonts w:ascii="Calibri" w:eastAsia="Times New Roman" w:hAnsi="Calibri" w:cs="Calibri"/>
              </w:rPr>
            </w:pPr>
          </w:p>
        </w:tc>
        <w:tc>
          <w:tcPr>
            <w:tcW w:w="867" w:type="dxa"/>
            <w:tcBorders>
              <w:top w:val="nil"/>
              <w:left w:val="nil"/>
              <w:bottom w:val="nil"/>
              <w:right w:val="nil"/>
            </w:tcBorders>
            <w:tcMar>
              <w:top w:w="0" w:type="dxa"/>
              <w:left w:w="108" w:type="dxa"/>
              <w:bottom w:w="0" w:type="dxa"/>
              <w:right w:w="108" w:type="dxa"/>
            </w:tcMar>
            <w:hideMark/>
          </w:tcPr>
          <w:p w14:paraId="5E6E2B2B" w14:textId="77777777" w:rsidR="006E5C07" w:rsidRPr="006E5C07" w:rsidRDefault="006E5C07" w:rsidP="006E5C07">
            <w:pPr>
              <w:spacing w:after="0" w:line="240" w:lineRule="auto"/>
              <w:jc w:val="right"/>
              <w:rPr>
                <w:rFonts w:ascii="Calibri" w:eastAsia="Times New Roman" w:hAnsi="Calibri" w:cs="Calibri"/>
              </w:rPr>
            </w:pPr>
          </w:p>
        </w:tc>
        <w:tc>
          <w:tcPr>
            <w:tcW w:w="1126" w:type="dxa"/>
            <w:tcBorders>
              <w:top w:val="nil"/>
              <w:left w:val="nil"/>
              <w:bottom w:val="nil"/>
              <w:right w:val="nil"/>
            </w:tcBorders>
            <w:tcMar>
              <w:top w:w="0" w:type="dxa"/>
              <w:left w:w="108" w:type="dxa"/>
              <w:bottom w:w="0" w:type="dxa"/>
              <w:right w:w="108" w:type="dxa"/>
            </w:tcMar>
            <w:hideMark/>
          </w:tcPr>
          <w:p w14:paraId="437AF2B4" w14:textId="77777777" w:rsidR="006E5C07" w:rsidRPr="006E5C07" w:rsidRDefault="006E5C07" w:rsidP="006E5C07">
            <w:pPr>
              <w:spacing w:after="0" w:line="240" w:lineRule="auto"/>
              <w:jc w:val="right"/>
              <w:rPr>
                <w:rFonts w:ascii="Calibri" w:eastAsia="Times New Roman" w:hAnsi="Calibri" w:cs="Calibri"/>
              </w:rPr>
            </w:pPr>
          </w:p>
        </w:tc>
        <w:tc>
          <w:tcPr>
            <w:tcW w:w="801" w:type="dxa"/>
            <w:tcBorders>
              <w:top w:val="nil"/>
              <w:left w:val="nil"/>
              <w:bottom w:val="nil"/>
              <w:right w:val="nil"/>
            </w:tcBorders>
            <w:tcMar>
              <w:top w:w="0" w:type="dxa"/>
              <w:left w:w="108" w:type="dxa"/>
              <w:bottom w:w="0" w:type="dxa"/>
              <w:right w:w="108" w:type="dxa"/>
            </w:tcMar>
            <w:hideMark/>
          </w:tcPr>
          <w:p w14:paraId="5EBDB450"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7EF1193B" w14:textId="77777777" w:rsidTr="006E5C07">
        <w:tc>
          <w:tcPr>
            <w:tcW w:w="2239" w:type="dxa"/>
            <w:tcMar>
              <w:top w:w="0" w:type="dxa"/>
              <w:left w:w="108" w:type="dxa"/>
              <w:bottom w:w="0" w:type="dxa"/>
              <w:right w:w="108" w:type="dxa"/>
            </w:tcMar>
            <w:hideMark/>
          </w:tcPr>
          <w:p w14:paraId="60CC7635"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Additions</w:t>
            </w:r>
          </w:p>
          <w:p w14:paraId="1EDFBDA0"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Disposals</w:t>
            </w:r>
          </w:p>
        </w:tc>
        <w:tc>
          <w:tcPr>
            <w:tcW w:w="988" w:type="dxa"/>
            <w:tcMar>
              <w:top w:w="0" w:type="dxa"/>
              <w:left w:w="108" w:type="dxa"/>
              <w:bottom w:w="0" w:type="dxa"/>
              <w:right w:w="108" w:type="dxa"/>
            </w:tcMar>
            <w:hideMark/>
          </w:tcPr>
          <w:p w14:paraId="087A6BF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15</w:t>
            </w:r>
          </w:p>
          <w:p w14:paraId="5B8C5EC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926" w:type="dxa"/>
            <w:tcMar>
              <w:top w:w="0" w:type="dxa"/>
              <w:left w:w="108" w:type="dxa"/>
              <w:bottom w:w="0" w:type="dxa"/>
              <w:right w:w="108" w:type="dxa"/>
            </w:tcMar>
            <w:hideMark/>
          </w:tcPr>
          <w:p w14:paraId="331C20A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w:t>
            </w:r>
          </w:p>
          <w:p w14:paraId="591C866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988" w:type="dxa"/>
            <w:tcMar>
              <w:top w:w="0" w:type="dxa"/>
              <w:left w:w="108" w:type="dxa"/>
              <w:bottom w:w="0" w:type="dxa"/>
              <w:right w:w="108" w:type="dxa"/>
            </w:tcMar>
            <w:hideMark/>
          </w:tcPr>
          <w:p w14:paraId="365CBC9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14</w:t>
            </w:r>
          </w:p>
          <w:p w14:paraId="1EBBB5E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867" w:type="dxa"/>
            <w:tcMar>
              <w:top w:w="0" w:type="dxa"/>
              <w:left w:w="108" w:type="dxa"/>
              <w:bottom w:w="0" w:type="dxa"/>
              <w:right w:w="108" w:type="dxa"/>
            </w:tcMar>
            <w:hideMark/>
          </w:tcPr>
          <w:p w14:paraId="223E894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568</w:t>
            </w:r>
          </w:p>
          <w:p w14:paraId="5426511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(166)</w:t>
            </w:r>
          </w:p>
        </w:tc>
        <w:tc>
          <w:tcPr>
            <w:tcW w:w="1126" w:type="dxa"/>
            <w:tcMar>
              <w:top w:w="0" w:type="dxa"/>
              <w:left w:w="108" w:type="dxa"/>
              <w:bottom w:w="0" w:type="dxa"/>
              <w:right w:w="108" w:type="dxa"/>
            </w:tcMar>
            <w:hideMark/>
          </w:tcPr>
          <w:p w14:paraId="5D02FFA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39</w:t>
            </w:r>
          </w:p>
          <w:p w14:paraId="5716B15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(15)</w:t>
            </w:r>
          </w:p>
        </w:tc>
        <w:tc>
          <w:tcPr>
            <w:tcW w:w="801" w:type="dxa"/>
            <w:tcMar>
              <w:top w:w="0" w:type="dxa"/>
              <w:left w:w="108" w:type="dxa"/>
              <w:bottom w:w="0" w:type="dxa"/>
              <w:right w:w="108" w:type="dxa"/>
            </w:tcMar>
            <w:hideMark/>
          </w:tcPr>
          <w:p w14:paraId="1C9F14C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639</w:t>
            </w:r>
          </w:p>
          <w:p w14:paraId="1DEBED0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(181)</w:t>
            </w:r>
          </w:p>
        </w:tc>
      </w:tr>
      <w:tr w:rsidR="006E5C07" w:rsidRPr="006E5C07" w14:paraId="0BF47EFD" w14:textId="77777777" w:rsidTr="006E5C07">
        <w:tc>
          <w:tcPr>
            <w:tcW w:w="2239" w:type="dxa"/>
            <w:tcMar>
              <w:top w:w="0" w:type="dxa"/>
              <w:left w:w="108" w:type="dxa"/>
              <w:bottom w:w="0" w:type="dxa"/>
              <w:right w:w="108" w:type="dxa"/>
            </w:tcMar>
            <w:hideMark/>
          </w:tcPr>
          <w:p w14:paraId="0261D7A9"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Forex</w:t>
            </w:r>
          </w:p>
        </w:tc>
        <w:tc>
          <w:tcPr>
            <w:tcW w:w="988" w:type="dxa"/>
            <w:tcBorders>
              <w:top w:val="nil"/>
              <w:left w:val="nil"/>
              <w:bottom w:val="single" w:sz="8" w:space="0" w:color="auto"/>
              <w:right w:val="nil"/>
            </w:tcBorders>
            <w:tcMar>
              <w:top w:w="0" w:type="dxa"/>
              <w:left w:w="108" w:type="dxa"/>
              <w:bottom w:w="0" w:type="dxa"/>
              <w:right w:w="108" w:type="dxa"/>
            </w:tcMar>
            <w:hideMark/>
          </w:tcPr>
          <w:p w14:paraId="7E9B1F2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926" w:type="dxa"/>
            <w:tcBorders>
              <w:top w:val="nil"/>
              <w:left w:val="nil"/>
              <w:bottom w:val="single" w:sz="8" w:space="0" w:color="auto"/>
              <w:right w:val="nil"/>
            </w:tcBorders>
            <w:tcMar>
              <w:top w:w="0" w:type="dxa"/>
              <w:left w:w="108" w:type="dxa"/>
              <w:bottom w:w="0" w:type="dxa"/>
              <w:right w:w="108" w:type="dxa"/>
            </w:tcMar>
            <w:hideMark/>
          </w:tcPr>
          <w:p w14:paraId="2007BE5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w:t>
            </w:r>
          </w:p>
        </w:tc>
        <w:tc>
          <w:tcPr>
            <w:tcW w:w="988" w:type="dxa"/>
            <w:tcBorders>
              <w:top w:val="nil"/>
              <w:left w:val="nil"/>
              <w:bottom w:val="single" w:sz="8" w:space="0" w:color="auto"/>
              <w:right w:val="nil"/>
            </w:tcBorders>
            <w:tcMar>
              <w:top w:w="0" w:type="dxa"/>
              <w:left w:w="108" w:type="dxa"/>
              <w:bottom w:w="0" w:type="dxa"/>
              <w:right w:w="108" w:type="dxa"/>
            </w:tcMar>
            <w:hideMark/>
          </w:tcPr>
          <w:p w14:paraId="641DFAF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867" w:type="dxa"/>
            <w:tcBorders>
              <w:top w:val="nil"/>
              <w:left w:val="nil"/>
              <w:bottom w:val="single" w:sz="8" w:space="0" w:color="auto"/>
              <w:right w:val="nil"/>
            </w:tcBorders>
            <w:tcMar>
              <w:top w:w="0" w:type="dxa"/>
              <w:left w:w="108" w:type="dxa"/>
              <w:bottom w:w="0" w:type="dxa"/>
              <w:right w:w="108" w:type="dxa"/>
            </w:tcMar>
            <w:hideMark/>
          </w:tcPr>
          <w:p w14:paraId="6D322DD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126" w:type="dxa"/>
            <w:tcBorders>
              <w:top w:val="nil"/>
              <w:left w:val="nil"/>
              <w:bottom w:val="single" w:sz="8" w:space="0" w:color="auto"/>
              <w:right w:val="nil"/>
            </w:tcBorders>
            <w:tcMar>
              <w:top w:w="0" w:type="dxa"/>
              <w:left w:w="108" w:type="dxa"/>
              <w:bottom w:w="0" w:type="dxa"/>
              <w:right w:w="108" w:type="dxa"/>
            </w:tcMar>
            <w:hideMark/>
          </w:tcPr>
          <w:p w14:paraId="3914CBC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801" w:type="dxa"/>
            <w:tcBorders>
              <w:top w:val="nil"/>
              <w:left w:val="nil"/>
              <w:bottom w:val="single" w:sz="8" w:space="0" w:color="auto"/>
              <w:right w:val="nil"/>
            </w:tcBorders>
            <w:tcMar>
              <w:top w:w="0" w:type="dxa"/>
              <w:left w:w="108" w:type="dxa"/>
              <w:bottom w:w="0" w:type="dxa"/>
              <w:right w:w="108" w:type="dxa"/>
            </w:tcMar>
            <w:hideMark/>
          </w:tcPr>
          <w:p w14:paraId="6DDB2A5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w:t>
            </w:r>
          </w:p>
        </w:tc>
      </w:tr>
      <w:tr w:rsidR="006E5C07" w:rsidRPr="006E5C07" w14:paraId="14948B60" w14:textId="77777777" w:rsidTr="006E5C07">
        <w:tc>
          <w:tcPr>
            <w:tcW w:w="2239" w:type="dxa"/>
            <w:tcMar>
              <w:top w:w="0" w:type="dxa"/>
              <w:left w:w="108" w:type="dxa"/>
              <w:bottom w:w="0" w:type="dxa"/>
              <w:right w:w="108" w:type="dxa"/>
            </w:tcMar>
            <w:hideMark/>
          </w:tcPr>
          <w:p w14:paraId="3DB85DB1"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31 December 2020</w:t>
            </w:r>
          </w:p>
        </w:tc>
        <w:tc>
          <w:tcPr>
            <w:tcW w:w="988" w:type="dxa"/>
            <w:tcBorders>
              <w:top w:val="nil"/>
              <w:left w:val="nil"/>
              <w:bottom w:val="single" w:sz="8" w:space="0" w:color="auto"/>
              <w:right w:val="nil"/>
            </w:tcBorders>
            <w:tcMar>
              <w:top w:w="0" w:type="dxa"/>
              <w:left w:w="108" w:type="dxa"/>
              <w:bottom w:w="0" w:type="dxa"/>
              <w:right w:w="108" w:type="dxa"/>
            </w:tcMar>
            <w:hideMark/>
          </w:tcPr>
          <w:p w14:paraId="64EF2877"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3,061</w:t>
            </w:r>
          </w:p>
        </w:tc>
        <w:tc>
          <w:tcPr>
            <w:tcW w:w="926" w:type="dxa"/>
            <w:tcBorders>
              <w:top w:val="nil"/>
              <w:left w:val="nil"/>
              <w:bottom w:val="single" w:sz="8" w:space="0" w:color="auto"/>
              <w:right w:val="nil"/>
            </w:tcBorders>
            <w:tcMar>
              <w:top w:w="0" w:type="dxa"/>
              <w:left w:w="108" w:type="dxa"/>
              <w:bottom w:w="0" w:type="dxa"/>
              <w:right w:w="108" w:type="dxa"/>
            </w:tcMar>
            <w:hideMark/>
          </w:tcPr>
          <w:p w14:paraId="45F03CEA"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295</w:t>
            </w:r>
          </w:p>
        </w:tc>
        <w:tc>
          <w:tcPr>
            <w:tcW w:w="988" w:type="dxa"/>
            <w:tcBorders>
              <w:top w:val="nil"/>
              <w:left w:val="nil"/>
              <w:bottom w:val="single" w:sz="8" w:space="0" w:color="auto"/>
              <w:right w:val="nil"/>
            </w:tcBorders>
            <w:tcMar>
              <w:top w:w="0" w:type="dxa"/>
              <w:left w:w="108" w:type="dxa"/>
              <w:bottom w:w="0" w:type="dxa"/>
              <w:right w:w="108" w:type="dxa"/>
            </w:tcMar>
            <w:hideMark/>
          </w:tcPr>
          <w:p w14:paraId="2C5DB520"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823</w:t>
            </w:r>
          </w:p>
        </w:tc>
        <w:tc>
          <w:tcPr>
            <w:tcW w:w="867" w:type="dxa"/>
            <w:tcBorders>
              <w:top w:val="nil"/>
              <w:left w:val="nil"/>
              <w:bottom w:val="single" w:sz="8" w:space="0" w:color="auto"/>
              <w:right w:val="nil"/>
            </w:tcBorders>
            <w:tcMar>
              <w:top w:w="0" w:type="dxa"/>
              <w:left w:w="108" w:type="dxa"/>
              <w:bottom w:w="0" w:type="dxa"/>
              <w:right w:w="108" w:type="dxa"/>
            </w:tcMar>
            <w:hideMark/>
          </w:tcPr>
          <w:p w14:paraId="21FA577B"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822</w:t>
            </w:r>
          </w:p>
        </w:tc>
        <w:tc>
          <w:tcPr>
            <w:tcW w:w="1126" w:type="dxa"/>
            <w:tcBorders>
              <w:top w:val="nil"/>
              <w:left w:val="nil"/>
              <w:bottom w:val="single" w:sz="8" w:space="0" w:color="auto"/>
              <w:right w:val="nil"/>
            </w:tcBorders>
            <w:tcMar>
              <w:top w:w="0" w:type="dxa"/>
              <w:left w:w="108" w:type="dxa"/>
              <w:bottom w:w="0" w:type="dxa"/>
              <w:right w:w="108" w:type="dxa"/>
            </w:tcMar>
            <w:hideMark/>
          </w:tcPr>
          <w:p w14:paraId="1BFACEC5"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161</w:t>
            </w:r>
          </w:p>
        </w:tc>
        <w:tc>
          <w:tcPr>
            <w:tcW w:w="801" w:type="dxa"/>
            <w:tcBorders>
              <w:top w:val="nil"/>
              <w:left w:val="nil"/>
              <w:bottom w:val="single" w:sz="8" w:space="0" w:color="auto"/>
              <w:right w:val="nil"/>
            </w:tcBorders>
            <w:tcMar>
              <w:top w:w="0" w:type="dxa"/>
              <w:left w:w="108" w:type="dxa"/>
              <w:bottom w:w="0" w:type="dxa"/>
              <w:right w:w="108" w:type="dxa"/>
            </w:tcMar>
            <w:hideMark/>
          </w:tcPr>
          <w:p w14:paraId="7FDB212C"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5,162</w:t>
            </w:r>
          </w:p>
        </w:tc>
      </w:tr>
    </w:tbl>
    <w:p w14:paraId="21B3950E" w14:textId="77777777" w:rsidR="006E5C07" w:rsidRPr="006E5C07" w:rsidRDefault="006E5C07" w:rsidP="006E5C07">
      <w:pPr>
        <w:spacing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2194"/>
        <w:gridCol w:w="1060"/>
        <w:gridCol w:w="918"/>
        <w:gridCol w:w="1060"/>
        <w:gridCol w:w="915"/>
        <w:gridCol w:w="1062"/>
        <w:gridCol w:w="777"/>
      </w:tblGrid>
      <w:tr w:rsidR="006E5C07" w:rsidRPr="006E5C07" w14:paraId="0CF6C24B" w14:textId="77777777" w:rsidTr="006E5C07">
        <w:trPr>
          <w:trHeight w:val="233"/>
        </w:trPr>
        <w:tc>
          <w:tcPr>
            <w:tcW w:w="2194" w:type="dxa"/>
            <w:tcMar>
              <w:top w:w="0" w:type="dxa"/>
              <w:left w:w="108" w:type="dxa"/>
              <w:bottom w:w="0" w:type="dxa"/>
              <w:right w:w="108" w:type="dxa"/>
            </w:tcMar>
            <w:hideMark/>
          </w:tcPr>
          <w:p w14:paraId="0169EFE3"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Depreciation</w:t>
            </w:r>
          </w:p>
        </w:tc>
        <w:tc>
          <w:tcPr>
            <w:tcW w:w="1060" w:type="dxa"/>
            <w:tcMar>
              <w:top w:w="0" w:type="dxa"/>
              <w:left w:w="108" w:type="dxa"/>
              <w:bottom w:w="0" w:type="dxa"/>
              <w:right w:w="108" w:type="dxa"/>
            </w:tcMar>
            <w:hideMark/>
          </w:tcPr>
          <w:p w14:paraId="58249AF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Plant &amp; equipment</w:t>
            </w:r>
          </w:p>
        </w:tc>
        <w:tc>
          <w:tcPr>
            <w:tcW w:w="918" w:type="dxa"/>
            <w:tcMar>
              <w:top w:w="0" w:type="dxa"/>
              <w:left w:w="108" w:type="dxa"/>
              <w:bottom w:w="0" w:type="dxa"/>
              <w:right w:w="108" w:type="dxa"/>
            </w:tcMar>
            <w:hideMark/>
          </w:tcPr>
          <w:p w14:paraId="0F5A358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Fixture &amp; fittings</w:t>
            </w:r>
          </w:p>
        </w:tc>
        <w:tc>
          <w:tcPr>
            <w:tcW w:w="1060" w:type="dxa"/>
            <w:tcMar>
              <w:top w:w="0" w:type="dxa"/>
              <w:left w:w="108" w:type="dxa"/>
              <w:bottom w:w="0" w:type="dxa"/>
              <w:right w:w="108" w:type="dxa"/>
            </w:tcMar>
            <w:hideMark/>
          </w:tcPr>
          <w:p w14:paraId="12C5212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Computer equipment</w:t>
            </w:r>
          </w:p>
        </w:tc>
        <w:tc>
          <w:tcPr>
            <w:tcW w:w="915" w:type="dxa"/>
            <w:tcMar>
              <w:top w:w="0" w:type="dxa"/>
              <w:left w:w="108" w:type="dxa"/>
              <w:bottom w:w="0" w:type="dxa"/>
              <w:right w:w="108" w:type="dxa"/>
            </w:tcMar>
            <w:hideMark/>
          </w:tcPr>
          <w:p w14:paraId="2F9611E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Right of use assets property</w:t>
            </w:r>
          </w:p>
        </w:tc>
        <w:tc>
          <w:tcPr>
            <w:tcW w:w="1062" w:type="dxa"/>
            <w:tcMar>
              <w:top w:w="0" w:type="dxa"/>
              <w:left w:w="108" w:type="dxa"/>
              <w:bottom w:w="0" w:type="dxa"/>
              <w:right w:w="108" w:type="dxa"/>
            </w:tcMar>
            <w:hideMark/>
          </w:tcPr>
          <w:p w14:paraId="2B3A06B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Right of use assets plant &amp; equipment</w:t>
            </w:r>
          </w:p>
        </w:tc>
        <w:tc>
          <w:tcPr>
            <w:tcW w:w="777" w:type="dxa"/>
            <w:tcMar>
              <w:top w:w="0" w:type="dxa"/>
              <w:left w:w="108" w:type="dxa"/>
              <w:bottom w:w="0" w:type="dxa"/>
              <w:right w:w="108" w:type="dxa"/>
            </w:tcMar>
            <w:hideMark/>
          </w:tcPr>
          <w:p w14:paraId="6C1F6F1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Total</w:t>
            </w:r>
          </w:p>
        </w:tc>
      </w:tr>
      <w:tr w:rsidR="006E5C07" w:rsidRPr="006E5C07" w14:paraId="03CFF553" w14:textId="77777777" w:rsidTr="006E5C07">
        <w:trPr>
          <w:trHeight w:val="226"/>
        </w:trPr>
        <w:tc>
          <w:tcPr>
            <w:tcW w:w="2194" w:type="dxa"/>
            <w:tcMar>
              <w:top w:w="0" w:type="dxa"/>
              <w:left w:w="108" w:type="dxa"/>
              <w:bottom w:w="0" w:type="dxa"/>
              <w:right w:w="108" w:type="dxa"/>
            </w:tcMar>
            <w:hideMark/>
          </w:tcPr>
          <w:p w14:paraId="71887C67" w14:textId="77777777" w:rsidR="006E5C07" w:rsidRPr="006E5C07" w:rsidRDefault="006E5C07" w:rsidP="006E5C07">
            <w:pPr>
              <w:spacing w:after="0" w:line="240" w:lineRule="auto"/>
              <w:rPr>
                <w:rFonts w:ascii="Calibri" w:eastAsia="Times New Roman" w:hAnsi="Calibri" w:cs="Calibri"/>
              </w:rPr>
            </w:pPr>
          </w:p>
        </w:tc>
        <w:tc>
          <w:tcPr>
            <w:tcW w:w="1060" w:type="dxa"/>
            <w:tcMar>
              <w:top w:w="0" w:type="dxa"/>
              <w:left w:w="108" w:type="dxa"/>
              <w:bottom w:w="0" w:type="dxa"/>
              <w:right w:w="108" w:type="dxa"/>
            </w:tcMar>
            <w:hideMark/>
          </w:tcPr>
          <w:p w14:paraId="1C196E5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918" w:type="dxa"/>
            <w:tcMar>
              <w:top w:w="0" w:type="dxa"/>
              <w:left w:w="108" w:type="dxa"/>
              <w:bottom w:w="0" w:type="dxa"/>
              <w:right w:w="108" w:type="dxa"/>
            </w:tcMar>
            <w:hideMark/>
          </w:tcPr>
          <w:p w14:paraId="16AB8B7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1060" w:type="dxa"/>
            <w:tcMar>
              <w:top w:w="0" w:type="dxa"/>
              <w:left w:w="108" w:type="dxa"/>
              <w:bottom w:w="0" w:type="dxa"/>
              <w:right w:w="108" w:type="dxa"/>
            </w:tcMar>
            <w:hideMark/>
          </w:tcPr>
          <w:p w14:paraId="4E1288C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915" w:type="dxa"/>
            <w:tcMar>
              <w:top w:w="0" w:type="dxa"/>
              <w:left w:w="108" w:type="dxa"/>
              <w:bottom w:w="0" w:type="dxa"/>
              <w:right w:w="108" w:type="dxa"/>
            </w:tcMar>
            <w:hideMark/>
          </w:tcPr>
          <w:p w14:paraId="38173D9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1062" w:type="dxa"/>
            <w:tcMar>
              <w:top w:w="0" w:type="dxa"/>
              <w:left w:w="108" w:type="dxa"/>
              <w:bottom w:w="0" w:type="dxa"/>
              <w:right w:w="108" w:type="dxa"/>
            </w:tcMar>
            <w:hideMark/>
          </w:tcPr>
          <w:p w14:paraId="6EA2EC9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777" w:type="dxa"/>
            <w:tcMar>
              <w:top w:w="0" w:type="dxa"/>
              <w:left w:w="108" w:type="dxa"/>
              <w:bottom w:w="0" w:type="dxa"/>
              <w:right w:w="108" w:type="dxa"/>
            </w:tcMar>
            <w:hideMark/>
          </w:tcPr>
          <w:p w14:paraId="7B5B978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648470CA" w14:textId="77777777" w:rsidTr="006E5C07">
        <w:trPr>
          <w:trHeight w:val="226"/>
        </w:trPr>
        <w:tc>
          <w:tcPr>
            <w:tcW w:w="2194" w:type="dxa"/>
            <w:tcMar>
              <w:top w:w="0" w:type="dxa"/>
              <w:left w:w="108" w:type="dxa"/>
              <w:bottom w:w="0" w:type="dxa"/>
              <w:right w:w="108" w:type="dxa"/>
            </w:tcMar>
            <w:hideMark/>
          </w:tcPr>
          <w:p w14:paraId="5C033350" w14:textId="77777777" w:rsidR="006E5C07" w:rsidRPr="006E5C07" w:rsidRDefault="006E5C07" w:rsidP="006E5C07">
            <w:pPr>
              <w:spacing w:after="0" w:line="240" w:lineRule="auto"/>
              <w:rPr>
                <w:rFonts w:ascii="Calibri" w:eastAsia="Times New Roman" w:hAnsi="Calibri" w:cs="Calibri"/>
              </w:rPr>
            </w:pPr>
          </w:p>
        </w:tc>
        <w:tc>
          <w:tcPr>
            <w:tcW w:w="1060" w:type="dxa"/>
            <w:tcMar>
              <w:top w:w="0" w:type="dxa"/>
              <w:left w:w="108" w:type="dxa"/>
              <w:bottom w:w="0" w:type="dxa"/>
              <w:right w:w="108" w:type="dxa"/>
            </w:tcMar>
            <w:hideMark/>
          </w:tcPr>
          <w:p w14:paraId="01D46CD1"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4D5F3EDA" w14:textId="77777777" w:rsidR="006E5C07" w:rsidRPr="006E5C07" w:rsidRDefault="006E5C07" w:rsidP="006E5C07">
            <w:pPr>
              <w:spacing w:after="0" w:line="240" w:lineRule="auto"/>
              <w:jc w:val="right"/>
              <w:rPr>
                <w:rFonts w:ascii="Calibri" w:eastAsia="Times New Roman" w:hAnsi="Calibri" w:cs="Calibri"/>
              </w:rPr>
            </w:pPr>
          </w:p>
        </w:tc>
        <w:tc>
          <w:tcPr>
            <w:tcW w:w="1060" w:type="dxa"/>
            <w:tcMar>
              <w:top w:w="0" w:type="dxa"/>
              <w:left w:w="108" w:type="dxa"/>
              <w:bottom w:w="0" w:type="dxa"/>
              <w:right w:w="108" w:type="dxa"/>
            </w:tcMar>
            <w:hideMark/>
          </w:tcPr>
          <w:p w14:paraId="59FB227D" w14:textId="77777777" w:rsidR="006E5C07" w:rsidRPr="006E5C07" w:rsidRDefault="006E5C07" w:rsidP="006E5C07">
            <w:pPr>
              <w:spacing w:after="0" w:line="240" w:lineRule="auto"/>
              <w:jc w:val="right"/>
              <w:rPr>
                <w:rFonts w:ascii="Calibri" w:eastAsia="Times New Roman" w:hAnsi="Calibri" w:cs="Calibri"/>
              </w:rPr>
            </w:pPr>
          </w:p>
        </w:tc>
        <w:tc>
          <w:tcPr>
            <w:tcW w:w="915" w:type="dxa"/>
            <w:tcMar>
              <w:top w:w="0" w:type="dxa"/>
              <w:left w:w="108" w:type="dxa"/>
              <w:bottom w:w="0" w:type="dxa"/>
              <w:right w:w="108" w:type="dxa"/>
            </w:tcMar>
            <w:hideMark/>
          </w:tcPr>
          <w:p w14:paraId="1266F878" w14:textId="77777777" w:rsidR="006E5C07" w:rsidRPr="006E5C07" w:rsidRDefault="006E5C07" w:rsidP="006E5C07">
            <w:pPr>
              <w:spacing w:after="0" w:line="240" w:lineRule="auto"/>
              <w:jc w:val="right"/>
              <w:rPr>
                <w:rFonts w:ascii="Calibri" w:eastAsia="Times New Roman" w:hAnsi="Calibri" w:cs="Calibri"/>
              </w:rPr>
            </w:pPr>
          </w:p>
        </w:tc>
        <w:tc>
          <w:tcPr>
            <w:tcW w:w="1062" w:type="dxa"/>
            <w:tcMar>
              <w:top w:w="0" w:type="dxa"/>
              <w:left w:w="108" w:type="dxa"/>
              <w:bottom w:w="0" w:type="dxa"/>
              <w:right w:w="108" w:type="dxa"/>
            </w:tcMar>
            <w:hideMark/>
          </w:tcPr>
          <w:p w14:paraId="1356CC05" w14:textId="77777777" w:rsidR="006E5C07" w:rsidRPr="006E5C07" w:rsidRDefault="006E5C07" w:rsidP="006E5C07">
            <w:pPr>
              <w:spacing w:after="0" w:line="240" w:lineRule="auto"/>
              <w:jc w:val="right"/>
              <w:rPr>
                <w:rFonts w:ascii="Calibri" w:eastAsia="Times New Roman" w:hAnsi="Calibri" w:cs="Calibri"/>
              </w:rPr>
            </w:pPr>
          </w:p>
        </w:tc>
        <w:tc>
          <w:tcPr>
            <w:tcW w:w="777" w:type="dxa"/>
            <w:tcMar>
              <w:top w:w="0" w:type="dxa"/>
              <w:left w:w="108" w:type="dxa"/>
              <w:bottom w:w="0" w:type="dxa"/>
              <w:right w:w="108" w:type="dxa"/>
            </w:tcMar>
            <w:hideMark/>
          </w:tcPr>
          <w:p w14:paraId="03DD86AE"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5620D992" w14:textId="77777777" w:rsidTr="006E5C07">
        <w:trPr>
          <w:trHeight w:val="226"/>
        </w:trPr>
        <w:tc>
          <w:tcPr>
            <w:tcW w:w="2194" w:type="dxa"/>
            <w:tcMar>
              <w:top w:w="0" w:type="dxa"/>
              <w:left w:w="108" w:type="dxa"/>
              <w:bottom w:w="0" w:type="dxa"/>
              <w:right w:w="108" w:type="dxa"/>
            </w:tcMar>
            <w:hideMark/>
          </w:tcPr>
          <w:p w14:paraId="47E7DC56"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31 December 2018</w:t>
            </w:r>
          </w:p>
        </w:tc>
        <w:tc>
          <w:tcPr>
            <w:tcW w:w="1060" w:type="dxa"/>
            <w:tcMar>
              <w:top w:w="0" w:type="dxa"/>
              <w:left w:w="108" w:type="dxa"/>
              <w:bottom w:w="0" w:type="dxa"/>
              <w:right w:w="108" w:type="dxa"/>
            </w:tcMar>
            <w:hideMark/>
          </w:tcPr>
          <w:p w14:paraId="24FC98C0" w14:textId="77777777" w:rsidR="006E5C07" w:rsidRPr="006E5C07" w:rsidRDefault="006E5C07" w:rsidP="006E5C07">
            <w:pPr>
              <w:spacing w:after="0" w:line="240" w:lineRule="auto"/>
              <w:ind w:hanging="643"/>
              <w:jc w:val="right"/>
              <w:rPr>
                <w:rFonts w:ascii="Calibri" w:eastAsia="Times New Roman" w:hAnsi="Calibri" w:cs="Calibri"/>
              </w:rPr>
            </w:pPr>
            <w:r w:rsidRPr="006E5C07">
              <w:rPr>
                <w:rFonts w:ascii="Gill Sans MT" w:eastAsia="Times New Roman" w:hAnsi="Gill Sans MT" w:cs="Calibri"/>
                <w:sz w:val="18"/>
                <w:szCs w:val="18"/>
              </w:rPr>
              <w:t>2,353</w:t>
            </w:r>
          </w:p>
        </w:tc>
        <w:tc>
          <w:tcPr>
            <w:tcW w:w="918" w:type="dxa"/>
            <w:tcMar>
              <w:top w:w="0" w:type="dxa"/>
              <w:left w:w="108" w:type="dxa"/>
              <w:bottom w:w="0" w:type="dxa"/>
              <w:right w:w="108" w:type="dxa"/>
            </w:tcMar>
            <w:hideMark/>
          </w:tcPr>
          <w:p w14:paraId="097CB87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263</w:t>
            </w:r>
          </w:p>
        </w:tc>
        <w:tc>
          <w:tcPr>
            <w:tcW w:w="1060" w:type="dxa"/>
            <w:tcMar>
              <w:top w:w="0" w:type="dxa"/>
              <w:left w:w="108" w:type="dxa"/>
              <w:bottom w:w="0" w:type="dxa"/>
              <w:right w:w="108" w:type="dxa"/>
            </w:tcMar>
            <w:hideMark/>
          </w:tcPr>
          <w:p w14:paraId="10BEA33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641</w:t>
            </w:r>
          </w:p>
        </w:tc>
        <w:tc>
          <w:tcPr>
            <w:tcW w:w="915" w:type="dxa"/>
            <w:tcMar>
              <w:top w:w="0" w:type="dxa"/>
              <w:left w:w="108" w:type="dxa"/>
              <w:bottom w:w="0" w:type="dxa"/>
              <w:right w:w="108" w:type="dxa"/>
            </w:tcMar>
            <w:hideMark/>
          </w:tcPr>
          <w:p w14:paraId="7C87A4C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062" w:type="dxa"/>
            <w:tcMar>
              <w:top w:w="0" w:type="dxa"/>
              <w:left w:w="108" w:type="dxa"/>
              <w:bottom w:w="0" w:type="dxa"/>
              <w:right w:w="108" w:type="dxa"/>
            </w:tcMar>
            <w:hideMark/>
          </w:tcPr>
          <w:p w14:paraId="7ACA656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77" w:type="dxa"/>
            <w:tcMar>
              <w:top w:w="0" w:type="dxa"/>
              <w:left w:w="108" w:type="dxa"/>
              <w:bottom w:w="0" w:type="dxa"/>
              <w:right w:w="108" w:type="dxa"/>
            </w:tcMar>
            <w:hideMark/>
          </w:tcPr>
          <w:p w14:paraId="41A0EFE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3,257</w:t>
            </w:r>
          </w:p>
        </w:tc>
      </w:tr>
      <w:tr w:rsidR="006E5C07" w:rsidRPr="006E5C07" w14:paraId="74FD1F44" w14:textId="77777777" w:rsidTr="006E5C07">
        <w:trPr>
          <w:trHeight w:val="226"/>
        </w:trPr>
        <w:tc>
          <w:tcPr>
            <w:tcW w:w="2194" w:type="dxa"/>
            <w:tcMar>
              <w:top w:w="0" w:type="dxa"/>
              <w:left w:w="108" w:type="dxa"/>
              <w:bottom w:w="0" w:type="dxa"/>
              <w:right w:w="108" w:type="dxa"/>
            </w:tcMar>
            <w:hideMark/>
          </w:tcPr>
          <w:p w14:paraId="45478FA7"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Charge for the period</w:t>
            </w:r>
          </w:p>
        </w:tc>
        <w:tc>
          <w:tcPr>
            <w:tcW w:w="1060" w:type="dxa"/>
            <w:tcMar>
              <w:top w:w="0" w:type="dxa"/>
              <w:left w:w="108" w:type="dxa"/>
              <w:bottom w:w="0" w:type="dxa"/>
              <w:right w:w="108" w:type="dxa"/>
            </w:tcMar>
            <w:hideMark/>
          </w:tcPr>
          <w:p w14:paraId="655EDCC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243</w:t>
            </w:r>
          </w:p>
        </w:tc>
        <w:tc>
          <w:tcPr>
            <w:tcW w:w="918" w:type="dxa"/>
            <w:tcMar>
              <w:top w:w="0" w:type="dxa"/>
              <w:left w:w="108" w:type="dxa"/>
              <w:bottom w:w="0" w:type="dxa"/>
              <w:right w:w="108" w:type="dxa"/>
            </w:tcMar>
            <w:hideMark/>
          </w:tcPr>
          <w:p w14:paraId="034963D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w:t>
            </w:r>
          </w:p>
        </w:tc>
        <w:tc>
          <w:tcPr>
            <w:tcW w:w="1060" w:type="dxa"/>
            <w:tcMar>
              <w:top w:w="0" w:type="dxa"/>
              <w:left w:w="108" w:type="dxa"/>
              <w:bottom w:w="0" w:type="dxa"/>
              <w:right w:w="108" w:type="dxa"/>
            </w:tcMar>
            <w:hideMark/>
          </w:tcPr>
          <w:p w14:paraId="3188E26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95</w:t>
            </w:r>
          </w:p>
        </w:tc>
        <w:tc>
          <w:tcPr>
            <w:tcW w:w="915" w:type="dxa"/>
            <w:tcMar>
              <w:top w:w="0" w:type="dxa"/>
              <w:left w:w="108" w:type="dxa"/>
              <w:bottom w:w="0" w:type="dxa"/>
              <w:right w:w="108" w:type="dxa"/>
            </w:tcMar>
            <w:hideMark/>
          </w:tcPr>
          <w:p w14:paraId="6B61C64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156</w:t>
            </w:r>
          </w:p>
        </w:tc>
        <w:tc>
          <w:tcPr>
            <w:tcW w:w="1062" w:type="dxa"/>
            <w:tcMar>
              <w:top w:w="0" w:type="dxa"/>
              <w:left w:w="108" w:type="dxa"/>
              <w:bottom w:w="0" w:type="dxa"/>
              <w:right w:w="108" w:type="dxa"/>
            </w:tcMar>
            <w:hideMark/>
          </w:tcPr>
          <w:p w14:paraId="2100B29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45</w:t>
            </w:r>
          </w:p>
        </w:tc>
        <w:tc>
          <w:tcPr>
            <w:tcW w:w="777" w:type="dxa"/>
            <w:tcMar>
              <w:top w:w="0" w:type="dxa"/>
              <w:left w:w="108" w:type="dxa"/>
              <w:bottom w:w="0" w:type="dxa"/>
              <w:right w:w="108" w:type="dxa"/>
            </w:tcMar>
            <w:hideMark/>
          </w:tcPr>
          <w:p w14:paraId="32D01D3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551</w:t>
            </w:r>
          </w:p>
        </w:tc>
      </w:tr>
      <w:tr w:rsidR="006E5C07" w:rsidRPr="006E5C07" w14:paraId="47E8D034" w14:textId="77777777" w:rsidTr="006E5C07">
        <w:trPr>
          <w:trHeight w:val="226"/>
        </w:trPr>
        <w:tc>
          <w:tcPr>
            <w:tcW w:w="2194" w:type="dxa"/>
            <w:tcMar>
              <w:top w:w="0" w:type="dxa"/>
              <w:left w:w="108" w:type="dxa"/>
              <w:bottom w:w="0" w:type="dxa"/>
              <w:right w:w="108" w:type="dxa"/>
            </w:tcMar>
            <w:hideMark/>
          </w:tcPr>
          <w:p w14:paraId="2DA56991"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31 December 2019</w:t>
            </w:r>
          </w:p>
        </w:tc>
        <w:tc>
          <w:tcPr>
            <w:tcW w:w="1060" w:type="dxa"/>
            <w:tcBorders>
              <w:top w:val="single" w:sz="8" w:space="0" w:color="auto"/>
              <w:left w:val="nil"/>
              <w:bottom w:val="nil"/>
              <w:right w:val="nil"/>
            </w:tcBorders>
            <w:tcMar>
              <w:top w:w="0" w:type="dxa"/>
              <w:left w:w="108" w:type="dxa"/>
              <w:bottom w:w="0" w:type="dxa"/>
              <w:right w:w="108" w:type="dxa"/>
            </w:tcMar>
            <w:hideMark/>
          </w:tcPr>
          <w:p w14:paraId="3DCFAEE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2,596</w:t>
            </w:r>
          </w:p>
        </w:tc>
        <w:tc>
          <w:tcPr>
            <w:tcW w:w="918" w:type="dxa"/>
            <w:tcBorders>
              <w:top w:val="single" w:sz="8" w:space="0" w:color="auto"/>
              <w:left w:val="nil"/>
              <w:bottom w:val="nil"/>
              <w:right w:val="nil"/>
            </w:tcBorders>
            <w:tcMar>
              <w:top w:w="0" w:type="dxa"/>
              <w:left w:w="108" w:type="dxa"/>
              <w:bottom w:w="0" w:type="dxa"/>
              <w:right w:w="108" w:type="dxa"/>
            </w:tcMar>
            <w:hideMark/>
          </w:tcPr>
          <w:p w14:paraId="6374A0F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275</w:t>
            </w:r>
          </w:p>
        </w:tc>
        <w:tc>
          <w:tcPr>
            <w:tcW w:w="1060" w:type="dxa"/>
            <w:tcBorders>
              <w:top w:val="single" w:sz="8" w:space="0" w:color="auto"/>
              <w:left w:val="nil"/>
              <w:bottom w:val="nil"/>
              <w:right w:val="nil"/>
            </w:tcBorders>
            <w:tcMar>
              <w:top w:w="0" w:type="dxa"/>
              <w:left w:w="108" w:type="dxa"/>
              <w:bottom w:w="0" w:type="dxa"/>
              <w:right w:w="108" w:type="dxa"/>
            </w:tcMar>
            <w:hideMark/>
          </w:tcPr>
          <w:p w14:paraId="0C50ED0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736</w:t>
            </w:r>
          </w:p>
        </w:tc>
        <w:tc>
          <w:tcPr>
            <w:tcW w:w="915" w:type="dxa"/>
            <w:tcBorders>
              <w:top w:val="single" w:sz="8" w:space="0" w:color="auto"/>
              <w:left w:val="nil"/>
              <w:bottom w:val="nil"/>
              <w:right w:val="nil"/>
            </w:tcBorders>
            <w:tcMar>
              <w:top w:w="0" w:type="dxa"/>
              <w:left w:w="108" w:type="dxa"/>
              <w:bottom w:w="0" w:type="dxa"/>
              <w:right w:w="108" w:type="dxa"/>
            </w:tcMar>
            <w:hideMark/>
          </w:tcPr>
          <w:p w14:paraId="17A27E6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156</w:t>
            </w:r>
          </w:p>
        </w:tc>
        <w:tc>
          <w:tcPr>
            <w:tcW w:w="1062" w:type="dxa"/>
            <w:tcBorders>
              <w:top w:val="single" w:sz="8" w:space="0" w:color="auto"/>
              <w:left w:val="nil"/>
              <w:bottom w:val="nil"/>
              <w:right w:val="nil"/>
            </w:tcBorders>
            <w:tcMar>
              <w:top w:w="0" w:type="dxa"/>
              <w:left w:w="108" w:type="dxa"/>
              <w:bottom w:w="0" w:type="dxa"/>
              <w:right w:w="108" w:type="dxa"/>
            </w:tcMar>
            <w:hideMark/>
          </w:tcPr>
          <w:p w14:paraId="4FD7691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45</w:t>
            </w:r>
          </w:p>
        </w:tc>
        <w:tc>
          <w:tcPr>
            <w:tcW w:w="777" w:type="dxa"/>
            <w:tcBorders>
              <w:top w:val="single" w:sz="8" w:space="0" w:color="auto"/>
              <w:left w:val="nil"/>
              <w:bottom w:val="nil"/>
              <w:right w:val="nil"/>
            </w:tcBorders>
            <w:tcMar>
              <w:top w:w="0" w:type="dxa"/>
              <w:left w:w="108" w:type="dxa"/>
              <w:bottom w:w="0" w:type="dxa"/>
              <w:right w:w="108" w:type="dxa"/>
            </w:tcMar>
            <w:hideMark/>
          </w:tcPr>
          <w:p w14:paraId="15E6877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3,808</w:t>
            </w:r>
          </w:p>
        </w:tc>
      </w:tr>
      <w:tr w:rsidR="006E5C07" w:rsidRPr="006E5C07" w14:paraId="4D0EEB28" w14:textId="77777777" w:rsidTr="006E5C07">
        <w:trPr>
          <w:trHeight w:val="226"/>
        </w:trPr>
        <w:tc>
          <w:tcPr>
            <w:tcW w:w="2194" w:type="dxa"/>
            <w:tcMar>
              <w:top w:w="0" w:type="dxa"/>
              <w:left w:w="108" w:type="dxa"/>
              <w:bottom w:w="0" w:type="dxa"/>
              <w:right w:w="108" w:type="dxa"/>
            </w:tcMar>
            <w:hideMark/>
          </w:tcPr>
          <w:p w14:paraId="49883627"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Charge for the period</w:t>
            </w:r>
          </w:p>
        </w:tc>
        <w:tc>
          <w:tcPr>
            <w:tcW w:w="1060" w:type="dxa"/>
            <w:tcMar>
              <w:top w:w="0" w:type="dxa"/>
              <w:left w:w="108" w:type="dxa"/>
              <w:bottom w:w="0" w:type="dxa"/>
              <w:right w:w="108" w:type="dxa"/>
            </w:tcMar>
            <w:hideMark/>
          </w:tcPr>
          <w:p w14:paraId="0992592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171</w:t>
            </w:r>
          </w:p>
        </w:tc>
        <w:tc>
          <w:tcPr>
            <w:tcW w:w="918" w:type="dxa"/>
            <w:tcMar>
              <w:top w:w="0" w:type="dxa"/>
              <w:left w:w="108" w:type="dxa"/>
              <w:bottom w:w="0" w:type="dxa"/>
              <w:right w:w="108" w:type="dxa"/>
            </w:tcMar>
            <w:hideMark/>
          </w:tcPr>
          <w:p w14:paraId="4E72DE9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w:t>
            </w:r>
          </w:p>
        </w:tc>
        <w:tc>
          <w:tcPr>
            <w:tcW w:w="1060" w:type="dxa"/>
            <w:tcMar>
              <w:top w:w="0" w:type="dxa"/>
              <w:left w:w="108" w:type="dxa"/>
              <w:bottom w:w="0" w:type="dxa"/>
              <w:right w:w="108" w:type="dxa"/>
            </w:tcMar>
            <w:hideMark/>
          </w:tcPr>
          <w:p w14:paraId="27D34F1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58</w:t>
            </w:r>
          </w:p>
        </w:tc>
        <w:tc>
          <w:tcPr>
            <w:tcW w:w="915" w:type="dxa"/>
            <w:tcMar>
              <w:top w:w="0" w:type="dxa"/>
              <w:left w:w="108" w:type="dxa"/>
              <w:bottom w:w="0" w:type="dxa"/>
              <w:right w:w="108" w:type="dxa"/>
            </w:tcMar>
            <w:hideMark/>
          </w:tcPr>
          <w:p w14:paraId="708E946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209</w:t>
            </w:r>
          </w:p>
        </w:tc>
        <w:tc>
          <w:tcPr>
            <w:tcW w:w="1062" w:type="dxa"/>
            <w:tcMar>
              <w:top w:w="0" w:type="dxa"/>
              <w:left w:w="108" w:type="dxa"/>
              <w:bottom w:w="0" w:type="dxa"/>
              <w:right w:w="108" w:type="dxa"/>
            </w:tcMar>
            <w:hideMark/>
          </w:tcPr>
          <w:p w14:paraId="28DF115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54</w:t>
            </w:r>
          </w:p>
        </w:tc>
        <w:tc>
          <w:tcPr>
            <w:tcW w:w="777" w:type="dxa"/>
            <w:tcMar>
              <w:top w:w="0" w:type="dxa"/>
              <w:left w:w="108" w:type="dxa"/>
              <w:bottom w:w="0" w:type="dxa"/>
              <w:right w:w="108" w:type="dxa"/>
            </w:tcMar>
            <w:hideMark/>
          </w:tcPr>
          <w:p w14:paraId="10A9618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497</w:t>
            </w:r>
          </w:p>
        </w:tc>
      </w:tr>
      <w:tr w:rsidR="006E5C07" w:rsidRPr="006E5C07" w14:paraId="2DD346BC" w14:textId="77777777" w:rsidTr="006E5C07">
        <w:trPr>
          <w:trHeight w:val="226"/>
        </w:trPr>
        <w:tc>
          <w:tcPr>
            <w:tcW w:w="2194" w:type="dxa"/>
            <w:tcMar>
              <w:top w:w="0" w:type="dxa"/>
              <w:left w:w="108" w:type="dxa"/>
              <w:bottom w:w="0" w:type="dxa"/>
              <w:right w:w="108" w:type="dxa"/>
            </w:tcMar>
            <w:hideMark/>
          </w:tcPr>
          <w:p w14:paraId="50602E1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Depreciation on disposals</w:t>
            </w:r>
          </w:p>
        </w:tc>
        <w:tc>
          <w:tcPr>
            <w:tcW w:w="1060" w:type="dxa"/>
            <w:tcBorders>
              <w:top w:val="nil"/>
              <w:left w:val="nil"/>
              <w:bottom w:val="single" w:sz="8" w:space="0" w:color="auto"/>
              <w:right w:val="nil"/>
            </w:tcBorders>
            <w:tcMar>
              <w:top w:w="0" w:type="dxa"/>
              <w:left w:w="108" w:type="dxa"/>
              <w:bottom w:w="0" w:type="dxa"/>
              <w:right w:w="108" w:type="dxa"/>
            </w:tcMar>
            <w:hideMark/>
          </w:tcPr>
          <w:p w14:paraId="14D4993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918" w:type="dxa"/>
            <w:tcBorders>
              <w:top w:val="nil"/>
              <w:left w:val="nil"/>
              <w:bottom w:val="single" w:sz="8" w:space="0" w:color="auto"/>
              <w:right w:val="nil"/>
            </w:tcBorders>
            <w:tcMar>
              <w:top w:w="0" w:type="dxa"/>
              <w:left w:w="108" w:type="dxa"/>
              <w:bottom w:w="0" w:type="dxa"/>
              <w:right w:w="108" w:type="dxa"/>
            </w:tcMar>
            <w:hideMark/>
          </w:tcPr>
          <w:p w14:paraId="3B06DF0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060" w:type="dxa"/>
            <w:tcBorders>
              <w:top w:val="nil"/>
              <w:left w:val="nil"/>
              <w:bottom w:val="single" w:sz="8" w:space="0" w:color="auto"/>
              <w:right w:val="nil"/>
            </w:tcBorders>
            <w:tcMar>
              <w:top w:w="0" w:type="dxa"/>
              <w:left w:w="108" w:type="dxa"/>
              <w:bottom w:w="0" w:type="dxa"/>
              <w:right w:w="108" w:type="dxa"/>
            </w:tcMar>
            <w:hideMark/>
          </w:tcPr>
          <w:p w14:paraId="11A6AF5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915" w:type="dxa"/>
            <w:tcBorders>
              <w:top w:val="nil"/>
              <w:left w:val="nil"/>
              <w:bottom w:val="single" w:sz="8" w:space="0" w:color="auto"/>
              <w:right w:val="nil"/>
            </w:tcBorders>
            <w:tcMar>
              <w:top w:w="0" w:type="dxa"/>
              <w:left w:w="108" w:type="dxa"/>
              <w:bottom w:w="0" w:type="dxa"/>
              <w:right w:w="108" w:type="dxa"/>
            </w:tcMar>
            <w:hideMark/>
          </w:tcPr>
          <w:p w14:paraId="42A06A8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(165)</w:t>
            </w:r>
          </w:p>
        </w:tc>
        <w:tc>
          <w:tcPr>
            <w:tcW w:w="1062" w:type="dxa"/>
            <w:tcBorders>
              <w:top w:val="nil"/>
              <w:left w:val="nil"/>
              <w:bottom w:val="single" w:sz="8" w:space="0" w:color="auto"/>
              <w:right w:val="nil"/>
            </w:tcBorders>
            <w:tcMar>
              <w:top w:w="0" w:type="dxa"/>
              <w:left w:w="108" w:type="dxa"/>
              <w:bottom w:w="0" w:type="dxa"/>
              <w:right w:w="108" w:type="dxa"/>
            </w:tcMar>
            <w:hideMark/>
          </w:tcPr>
          <w:p w14:paraId="1F22938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w:t>
            </w:r>
          </w:p>
        </w:tc>
        <w:tc>
          <w:tcPr>
            <w:tcW w:w="777" w:type="dxa"/>
            <w:tcBorders>
              <w:top w:val="nil"/>
              <w:left w:val="nil"/>
              <w:bottom w:val="single" w:sz="8" w:space="0" w:color="auto"/>
              <w:right w:val="nil"/>
            </w:tcBorders>
            <w:tcMar>
              <w:top w:w="0" w:type="dxa"/>
              <w:left w:w="108" w:type="dxa"/>
              <w:bottom w:w="0" w:type="dxa"/>
              <w:right w:w="108" w:type="dxa"/>
            </w:tcMar>
            <w:hideMark/>
          </w:tcPr>
          <w:p w14:paraId="0C838D6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(171)</w:t>
            </w:r>
          </w:p>
        </w:tc>
      </w:tr>
      <w:tr w:rsidR="006E5C07" w:rsidRPr="006E5C07" w14:paraId="1572615A" w14:textId="77777777" w:rsidTr="006E5C07">
        <w:trPr>
          <w:trHeight w:val="226"/>
        </w:trPr>
        <w:tc>
          <w:tcPr>
            <w:tcW w:w="2194" w:type="dxa"/>
            <w:tcMar>
              <w:top w:w="0" w:type="dxa"/>
              <w:left w:w="108" w:type="dxa"/>
              <w:bottom w:w="0" w:type="dxa"/>
              <w:right w:w="108" w:type="dxa"/>
            </w:tcMar>
            <w:hideMark/>
          </w:tcPr>
          <w:p w14:paraId="1D4D703E"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31 December 2020</w:t>
            </w:r>
          </w:p>
        </w:tc>
        <w:tc>
          <w:tcPr>
            <w:tcW w:w="1060" w:type="dxa"/>
            <w:tcBorders>
              <w:top w:val="nil"/>
              <w:left w:val="nil"/>
              <w:bottom w:val="single" w:sz="8" w:space="0" w:color="auto"/>
              <w:right w:val="nil"/>
            </w:tcBorders>
            <w:tcMar>
              <w:top w:w="0" w:type="dxa"/>
              <w:left w:w="108" w:type="dxa"/>
              <w:bottom w:w="0" w:type="dxa"/>
              <w:right w:w="108" w:type="dxa"/>
            </w:tcMar>
            <w:hideMark/>
          </w:tcPr>
          <w:p w14:paraId="3ED7BB1D"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2,767</w:t>
            </w:r>
          </w:p>
        </w:tc>
        <w:tc>
          <w:tcPr>
            <w:tcW w:w="918" w:type="dxa"/>
            <w:tcBorders>
              <w:top w:val="nil"/>
              <w:left w:val="nil"/>
              <w:bottom w:val="single" w:sz="8" w:space="0" w:color="auto"/>
              <w:right w:val="nil"/>
            </w:tcBorders>
            <w:tcMar>
              <w:top w:w="0" w:type="dxa"/>
              <w:left w:w="108" w:type="dxa"/>
              <w:bottom w:w="0" w:type="dxa"/>
              <w:right w:w="108" w:type="dxa"/>
            </w:tcMar>
            <w:hideMark/>
          </w:tcPr>
          <w:p w14:paraId="75321109"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280</w:t>
            </w:r>
          </w:p>
        </w:tc>
        <w:tc>
          <w:tcPr>
            <w:tcW w:w="1060" w:type="dxa"/>
            <w:tcBorders>
              <w:top w:val="nil"/>
              <w:left w:val="nil"/>
              <w:bottom w:val="single" w:sz="8" w:space="0" w:color="auto"/>
              <w:right w:val="nil"/>
            </w:tcBorders>
            <w:tcMar>
              <w:top w:w="0" w:type="dxa"/>
              <w:left w:w="108" w:type="dxa"/>
              <w:bottom w:w="0" w:type="dxa"/>
              <w:right w:w="108" w:type="dxa"/>
            </w:tcMar>
            <w:hideMark/>
          </w:tcPr>
          <w:p w14:paraId="1CC48DB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794</w:t>
            </w:r>
          </w:p>
        </w:tc>
        <w:tc>
          <w:tcPr>
            <w:tcW w:w="915" w:type="dxa"/>
            <w:tcBorders>
              <w:top w:val="nil"/>
              <w:left w:val="nil"/>
              <w:bottom w:val="single" w:sz="8" w:space="0" w:color="auto"/>
              <w:right w:val="nil"/>
            </w:tcBorders>
            <w:tcMar>
              <w:top w:w="0" w:type="dxa"/>
              <w:left w:w="108" w:type="dxa"/>
              <w:bottom w:w="0" w:type="dxa"/>
              <w:right w:w="108" w:type="dxa"/>
            </w:tcMar>
            <w:hideMark/>
          </w:tcPr>
          <w:p w14:paraId="3B7E7516"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200</w:t>
            </w:r>
          </w:p>
        </w:tc>
        <w:tc>
          <w:tcPr>
            <w:tcW w:w="1062" w:type="dxa"/>
            <w:tcBorders>
              <w:top w:val="nil"/>
              <w:left w:val="nil"/>
              <w:bottom w:val="single" w:sz="8" w:space="0" w:color="auto"/>
              <w:right w:val="nil"/>
            </w:tcBorders>
            <w:tcMar>
              <w:top w:w="0" w:type="dxa"/>
              <w:left w:w="108" w:type="dxa"/>
              <w:bottom w:w="0" w:type="dxa"/>
              <w:right w:w="108" w:type="dxa"/>
            </w:tcMar>
            <w:hideMark/>
          </w:tcPr>
          <w:p w14:paraId="7D5E9645"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93</w:t>
            </w:r>
          </w:p>
        </w:tc>
        <w:tc>
          <w:tcPr>
            <w:tcW w:w="777" w:type="dxa"/>
            <w:tcBorders>
              <w:top w:val="nil"/>
              <w:left w:val="nil"/>
              <w:bottom w:val="single" w:sz="8" w:space="0" w:color="auto"/>
              <w:right w:val="nil"/>
            </w:tcBorders>
            <w:tcMar>
              <w:top w:w="0" w:type="dxa"/>
              <w:left w:w="108" w:type="dxa"/>
              <w:bottom w:w="0" w:type="dxa"/>
              <w:right w:w="108" w:type="dxa"/>
            </w:tcMar>
            <w:hideMark/>
          </w:tcPr>
          <w:p w14:paraId="30B7C7A2"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4,134</w:t>
            </w:r>
          </w:p>
        </w:tc>
      </w:tr>
    </w:tbl>
    <w:p w14:paraId="600D88D1" w14:textId="77777777" w:rsidR="006E5C07" w:rsidRPr="006E5C07" w:rsidRDefault="006E5C07" w:rsidP="006E5C07">
      <w:pPr>
        <w:spacing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2194"/>
        <w:gridCol w:w="1060"/>
        <w:gridCol w:w="918"/>
        <w:gridCol w:w="1060"/>
        <w:gridCol w:w="918"/>
        <w:gridCol w:w="1059"/>
        <w:gridCol w:w="776"/>
      </w:tblGrid>
      <w:tr w:rsidR="006E5C07" w:rsidRPr="006E5C07" w14:paraId="06FB5EFC" w14:textId="77777777" w:rsidTr="006E5C07">
        <w:trPr>
          <w:trHeight w:val="211"/>
        </w:trPr>
        <w:tc>
          <w:tcPr>
            <w:tcW w:w="2194" w:type="dxa"/>
            <w:tcMar>
              <w:top w:w="0" w:type="dxa"/>
              <w:left w:w="108" w:type="dxa"/>
              <w:bottom w:w="0" w:type="dxa"/>
              <w:right w:w="108" w:type="dxa"/>
            </w:tcMar>
            <w:hideMark/>
          </w:tcPr>
          <w:p w14:paraId="0246B2F0"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Net book value</w:t>
            </w:r>
          </w:p>
        </w:tc>
        <w:tc>
          <w:tcPr>
            <w:tcW w:w="1060" w:type="dxa"/>
            <w:tcMar>
              <w:top w:w="0" w:type="dxa"/>
              <w:left w:w="108" w:type="dxa"/>
              <w:bottom w:w="0" w:type="dxa"/>
              <w:right w:w="108" w:type="dxa"/>
            </w:tcMar>
            <w:hideMark/>
          </w:tcPr>
          <w:p w14:paraId="6D4B621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Plant &amp; equipment</w:t>
            </w:r>
          </w:p>
        </w:tc>
        <w:tc>
          <w:tcPr>
            <w:tcW w:w="918" w:type="dxa"/>
            <w:tcMar>
              <w:top w:w="0" w:type="dxa"/>
              <w:left w:w="108" w:type="dxa"/>
              <w:bottom w:w="0" w:type="dxa"/>
              <w:right w:w="108" w:type="dxa"/>
            </w:tcMar>
            <w:hideMark/>
          </w:tcPr>
          <w:p w14:paraId="7FFE584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Fixture &amp; fittings</w:t>
            </w:r>
          </w:p>
        </w:tc>
        <w:tc>
          <w:tcPr>
            <w:tcW w:w="1060" w:type="dxa"/>
            <w:tcMar>
              <w:top w:w="0" w:type="dxa"/>
              <w:left w:w="108" w:type="dxa"/>
              <w:bottom w:w="0" w:type="dxa"/>
              <w:right w:w="108" w:type="dxa"/>
            </w:tcMar>
            <w:hideMark/>
          </w:tcPr>
          <w:p w14:paraId="5B8DA9C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Computer equipment</w:t>
            </w:r>
          </w:p>
        </w:tc>
        <w:tc>
          <w:tcPr>
            <w:tcW w:w="918" w:type="dxa"/>
            <w:tcMar>
              <w:top w:w="0" w:type="dxa"/>
              <w:left w:w="108" w:type="dxa"/>
              <w:bottom w:w="0" w:type="dxa"/>
              <w:right w:w="108" w:type="dxa"/>
            </w:tcMar>
            <w:hideMark/>
          </w:tcPr>
          <w:p w14:paraId="64B73F9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xml:space="preserve">Right of use </w:t>
            </w:r>
            <w:r w:rsidRPr="006E5C07">
              <w:rPr>
                <w:rFonts w:ascii="Gill Sans MT" w:eastAsia="Times New Roman" w:hAnsi="Gill Sans MT" w:cs="Calibri"/>
                <w:sz w:val="18"/>
                <w:szCs w:val="18"/>
              </w:rPr>
              <w:lastRenderedPageBreak/>
              <w:t>assets property</w:t>
            </w:r>
          </w:p>
        </w:tc>
        <w:tc>
          <w:tcPr>
            <w:tcW w:w="1059" w:type="dxa"/>
            <w:tcMar>
              <w:top w:w="0" w:type="dxa"/>
              <w:left w:w="108" w:type="dxa"/>
              <w:bottom w:w="0" w:type="dxa"/>
              <w:right w:w="108" w:type="dxa"/>
            </w:tcMar>
            <w:hideMark/>
          </w:tcPr>
          <w:p w14:paraId="650F46D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lastRenderedPageBreak/>
              <w:t xml:space="preserve">Right of use assets </w:t>
            </w:r>
            <w:r w:rsidRPr="006E5C07">
              <w:rPr>
                <w:rFonts w:ascii="Gill Sans MT" w:eastAsia="Times New Roman" w:hAnsi="Gill Sans MT" w:cs="Calibri"/>
                <w:sz w:val="18"/>
                <w:szCs w:val="18"/>
              </w:rPr>
              <w:lastRenderedPageBreak/>
              <w:t>plant &amp; equipment</w:t>
            </w:r>
          </w:p>
        </w:tc>
        <w:tc>
          <w:tcPr>
            <w:tcW w:w="776" w:type="dxa"/>
            <w:tcMar>
              <w:top w:w="0" w:type="dxa"/>
              <w:left w:w="108" w:type="dxa"/>
              <w:bottom w:w="0" w:type="dxa"/>
              <w:right w:w="108" w:type="dxa"/>
            </w:tcMar>
            <w:hideMark/>
          </w:tcPr>
          <w:p w14:paraId="161D8EC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lastRenderedPageBreak/>
              <w:t>Total</w:t>
            </w:r>
          </w:p>
        </w:tc>
      </w:tr>
      <w:tr w:rsidR="006E5C07" w:rsidRPr="006E5C07" w14:paraId="223029C9" w14:textId="77777777" w:rsidTr="006E5C07">
        <w:tc>
          <w:tcPr>
            <w:tcW w:w="2194" w:type="dxa"/>
            <w:tcMar>
              <w:top w:w="0" w:type="dxa"/>
              <w:left w:w="108" w:type="dxa"/>
              <w:bottom w:w="0" w:type="dxa"/>
              <w:right w:w="108" w:type="dxa"/>
            </w:tcMar>
            <w:hideMark/>
          </w:tcPr>
          <w:p w14:paraId="7477923B" w14:textId="77777777" w:rsidR="006E5C07" w:rsidRPr="006E5C07" w:rsidRDefault="006E5C07" w:rsidP="006E5C07">
            <w:pPr>
              <w:spacing w:after="0" w:line="240" w:lineRule="auto"/>
              <w:rPr>
                <w:rFonts w:ascii="Calibri" w:eastAsia="Times New Roman" w:hAnsi="Calibri" w:cs="Calibri"/>
              </w:rPr>
            </w:pPr>
          </w:p>
        </w:tc>
        <w:tc>
          <w:tcPr>
            <w:tcW w:w="1060" w:type="dxa"/>
            <w:tcMar>
              <w:top w:w="0" w:type="dxa"/>
              <w:left w:w="108" w:type="dxa"/>
              <w:bottom w:w="0" w:type="dxa"/>
              <w:right w:w="108" w:type="dxa"/>
            </w:tcMar>
            <w:hideMark/>
          </w:tcPr>
          <w:p w14:paraId="2A31D37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918" w:type="dxa"/>
            <w:tcMar>
              <w:top w:w="0" w:type="dxa"/>
              <w:left w:w="108" w:type="dxa"/>
              <w:bottom w:w="0" w:type="dxa"/>
              <w:right w:w="108" w:type="dxa"/>
            </w:tcMar>
            <w:hideMark/>
          </w:tcPr>
          <w:p w14:paraId="548AB47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1060" w:type="dxa"/>
            <w:tcMar>
              <w:top w:w="0" w:type="dxa"/>
              <w:left w:w="108" w:type="dxa"/>
              <w:bottom w:w="0" w:type="dxa"/>
              <w:right w:w="108" w:type="dxa"/>
            </w:tcMar>
            <w:hideMark/>
          </w:tcPr>
          <w:p w14:paraId="683A9F4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918" w:type="dxa"/>
            <w:tcMar>
              <w:top w:w="0" w:type="dxa"/>
              <w:left w:w="108" w:type="dxa"/>
              <w:bottom w:w="0" w:type="dxa"/>
              <w:right w:w="108" w:type="dxa"/>
            </w:tcMar>
            <w:hideMark/>
          </w:tcPr>
          <w:p w14:paraId="2BFC993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1059" w:type="dxa"/>
            <w:tcMar>
              <w:top w:w="0" w:type="dxa"/>
              <w:left w:w="108" w:type="dxa"/>
              <w:bottom w:w="0" w:type="dxa"/>
              <w:right w:w="108" w:type="dxa"/>
            </w:tcMar>
            <w:hideMark/>
          </w:tcPr>
          <w:p w14:paraId="148FB97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776" w:type="dxa"/>
            <w:tcMar>
              <w:top w:w="0" w:type="dxa"/>
              <w:left w:w="108" w:type="dxa"/>
              <w:bottom w:w="0" w:type="dxa"/>
              <w:right w:w="108" w:type="dxa"/>
            </w:tcMar>
            <w:hideMark/>
          </w:tcPr>
          <w:p w14:paraId="68C9D65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69F4F20F" w14:textId="77777777" w:rsidTr="006E5C07">
        <w:tc>
          <w:tcPr>
            <w:tcW w:w="2194" w:type="dxa"/>
            <w:tcMar>
              <w:top w:w="0" w:type="dxa"/>
              <w:left w:w="108" w:type="dxa"/>
              <w:bottom w:w="0" w:type="dxa"/>
              <w:right w:w="108" w:type="dxa"/>
            </w:tcMar>
            <w:hideMark/>
          </w:tcPr>
          <w:p w14:paraId="2CBFD29F" w14:textId="77777777" w:rsidR="006E5C07" w:rsidRPr="006E5C07" w:rsidRDefault="006E5C07" w:rsidP="006E5C07">
            <w:pPr>
              <w:spacing w:after="0" w:line="240" w:lineRule="auto"/>
              <w:rPr>
                <w:rFonts w:ascii="Calibri" w:eastAsia="Times New Roman" w:hAnsi="Calibri" w:cs="Calibri"/>
              </w:rPr>
            </w:pPr>
          </w:p>
        </w:tc>
        <w:tc>
          <w:tcPr>
            <w:tcW w:w="1060" w:type="dxa"/>
            <w:tcMar>
              <w:top w:w="0" w:type="dxa"/>
              <w:left w:w="108" w:type="dxa"/>
              <w:bottom w:w="0" w:type="dxa"/>
              <w:right w:w="108" w:type="dxa"/>
            </w:tcMar>
            <w:hideMark/>
          </w:tcPr>
          <w:p w14:paraId="55FFE5FE"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55271F02" w14:textId="77777777" w:rsidR="006E5C07" w:rsidRPr="006E5C07" w:rsidRDefault="006E5C07" w:rsidP="006E5C07">
            <w:pPr>
              <w:spacing w:after="0" w:line="240" w:lineRule="auto"/>
              <w:jc w:val="right"/>
              <w:rPr>
                <w:rFonts w:ascii="Calibri" w:eastAsia="Times New Roman" w:hAnsi="Calibri" w:cs="Calibri"/>
              </w:rPr>
            </w:pPr>
          </w:p>
        </w:tc>
        <w:tc>
          <w:tcPr>
            <w:tcW w:w="1060" w:type="dxa"/>
            <w:tcMar>
              <w:top w:w="0" w:type="dxa"/>
              <w:left w:w="108" w:type="dxa"/>
              <w:bottom w:w="0" w:type="dxa"/>
              <w:right w:w="108" w:type="dxa"/>
            </w:tcMar>
            <w:hideMark/>
          </w:tcPr>
          <w:p w14:paraId="58DD727B"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427DC1F5" w14:textId="77777777" w:rsidR="006E5C07" w:rsidRPr="006E5C07" w:rsidRDefault="006E5C07" w:rsidP="006E5C07">
            <w:pPr>
              <w:spacing w:after="0" w:line="240" w:lineRule="auto"/>
              <w:jc w:val="right"/>
              <w:rPr>
                <w:rFonts w:ascii="Calibri" w:eastAsia="Times New Roman" w:hAnsi="Calibri" w:cs="Calibri"/>
              </w:rPr>
            </w:pPr>
          </w:p>
        </w:tc>
        <w:tc>
          <w:tcPr>
            <w:tcW w:w="1059" w:type="dxa"/>
            <w:tcMar>
              <w:top w:w="0" w:type="dxa"/>
              <w:left w:w="108" w:type="dxa"/>
              <w:bottom w:w="0" w:type="dxa"/>
              <w:right w:w="108" w:type="dxa"/>
            </w:tcMar>
            <w:hideMark/>
          </w:tcPr>
          <w:p w14:paraId="6D86B5B5" w14:textId="77777777" w:rsidR="006E5C07" w:rsidRPr="006E5C07" w:rsidRDefault="006E5C07" w:rsidP="006E5C07">
            <w:pPr>
              <w:spacing w:after="0" w:line="240" w:lineRule="auto"/>
              <w:jc w:val="right"/>
              <w:rPr>
                <w:rFonts w:ascii="Calibri" w:eastAsia="Times New Roman" w:hAnsi="Calibri" w:cs="Calibri"/>
              </w:rPr>
            </w:pPr>
          </w:p>
        </w:tc>
        <w:tc>
          <w:tcPr>
            <w:tcW w:w="776" w:type="dxa"/>
            <w:tcMar>
              <w:top w:w="0" w:type="dxa"/>
              <w:left w:w="108" w:type="dxa"/>
              <w:bottom w:w="0" w:type="dxa"/>
              <w:right w:w="108" w:type="dxa"/>
            </w:tcMar>
            <w:hideMark/>
          </w:tcPr>
          <w:p w14:paraId="63F5DB8F"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34F74AC8" w14:textId="77777777" w:rsidTr="006E5C07">
        <w:tc>
          <w:tcPr>
            <w:tcW w:w="2194" w:type="dxa"/>
            <w:tcMar>
              <w:top w:w="0" w:type="dxa"/>
              <w:left w:w="108" w:type="dxa"/>
              <w:bottom w:w="0" w:type="dxa"/>
              <w:right w:w="108" w:type="dxa"/>
            </w:tcMar>
            <w:hideMark/>
          </w:tcPr>
          <w:p w14:paraId="74F725F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31 December 2018</w:t>
            </w:r>
          </w:p>
        </w:tc>
        <w:tc>
          <w:tcPr>
            <w:tcW w:w="1060" w:type="dxa"/>
            <w:tcBorders>
              <w:top w:val="nil"/>
              <w:left w:val="nil"/>
              <w:bottom w:val="single" w:sz="8" w:space="0" w:color="auto"/>
              <w:right w:val="nil"/>
            </w:tcBorders>
            <w:tcMar>
              <w:top w:w="0" w:type="dxa"/>
              <w:left w:w="108" w:type="dxa"/>
              <w:bottom w:w="0" w:type="dxa"/>
              <w:right w:w="108" w:type="dxa"/>
            </w:tcMar>
            <w:hideMark/>
          </w:tcPr>
          <w:p w14:paraId="4878E3A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701</w:t>
            </w:r>
          </w:p>
        </w:tc>
        <w:tc>
          <w:tcPr>
            <w:tcW w:w="918" w:type="dxa"/>
            <w:tcBorders>
              <w:top w:val="nil"/>
              <w:left w:val="nil"/>
              <w:bottom w:val="single" w:sz="8" w:space="0" w:color="auto"/>
              <w:right w:val="nil"/>
            </w:tcBorders>
            <w:tcMar>
              <w:top w:w="0" w:type="dxa"/>
              <w:left w:w="108" w:type="dxa"/>
              <w:bottom w:w="0" w:type="dxa"/>
              <w:right w:w="108" w:type="dxa"/>
            </w:tcMar>
            <w:hideMark/>
          </w:tcPr>
          <w:p w14:paraId="60C3476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23</w:t>
            </w:r>
          </w:p>
        </w:tc>
        <w:tc>
          <w:tcPr>
            <w:tcW w:w="1060" w:type="dxa"/>
            <w:tcBorders>
              <w:top w:val="nil"/>
              <w:left w:val="nil"/>
              <w:bottom w:val="single" w:sz="8" w:space="0" w:color="auto"/>
              <w:right w:val="nil"/>
            </w:tcBorders>
            <w:tcMar>
              <w:top w:w="0" w:type="dxa"/>
              <w:left w:w="108" w:type="dxa"/>
              <w:bottom w:w="0" w:type="dxa"/>
              <w:right w:w="108" w:type="dxa"/>
            </w:tcMar>
            <w:hideMark/>
          </w:tcPr>
          <w:p w14:paraId="3E9809C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125</w:t>
            </w:r>
          </w:p>
        </w:tc>
        <w:tc>
          <w:tcPr>
            <w:tcW w:w="918" w:type="dxa"/>
            <w:tcBorders>
              <w:top w:val="nil"/>
              <w:left w:val="nil"/>
              <w:bottom w:val="single" w:sz="8" w:space="0" w:color="auto"/>
              <w:right w:val="nil"/>
            </w:tcBorders>
            <w:tcMar>
              <w:top w:w="0" w:type="dxa"/>
              <w:left w:w="108" w:type="dxa"/>
              <w:bottom w:w="0" w:type="dxa"/>
              <w:right w:w="108" w:type="dxa"/>
            </w:tcMar>
            <w:hideMark/>
          </w:tcPr>
          <w:p w14:paraId="69BCB1D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059" w:type="dxa"/>
            <w:tcBorders>
              <w:top w:val="nil"/>
              <w:left w:val="nil"/>
              <w:bottom w:val="single" w:sz="8" w:space="0" w:color="auto"/>
              <w:right w:val="nil"/>
            </w:tcBorders>
            <w:tcMar>
              <w:top w:w="0" w:type="dxa"/>
              <w:left w:w="108" w:type="dxa"/>
              <w:bottom w:w="0" w:type="dxa"/>
              <w:right w:w="108" w:type="dxa"/>
            </w:tcMar>
            <w:hideMark/>
          </w:tcPr>
          <w:p w14:paraId="06FFAA6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76" w:type="dxa"/>
            <w:tcBorders>
              <w:top w:val="nil"/>
              <w:left w:val="nil"/>
              <w:bottom w:val="single" w:sz="8" w:space="0" w:color="auto"/>
              <w:right w:val="nil"/>
            </w:tcBorders>
            <w:tcMar>
              <w:top w:w="0" w:type="dxa"/>
              <w:left w:w="108" w:type="dxa"/>
              <w:bottom w:w="0" w:type="dxa"/>
              <w:right w:w="108" w:type="dxa"/>
            </w:tcMar>
            <w:hideMark/>
          </w:tcPr>
          <w:p w14:paraId="1938D95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849</w:t>
            </w:r>
          </w:p>
        </w:tc>
      </w:tr>
      <w:tr w:rsidR="006E5C07" w:rsidRPr="006E5C07" w14:paraId="332C0F5B" w14:textId="77777777" w:rsidTr="006E5C07">
        <w:tc>
          <w:tcPr>
            <w:tcW w:w="2194" w:type="dxa"/>
            <w:tcMar>
              <w:top w:w="0" w:type="dxa"/>
              <w:left w:w="108" w:type="dxa"/>
              <w:bottom w:w="0" w:type="dxa"/>
              <w:right w:w="108" w:type="dxa"/>
            </w:tcMar>
            <w:hideMark/>
          </w:tcPr>
          <w:p w14:paraId="0DFCA28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31 December 2019</w:t>
            </w:r>
          </w:p>
        </w:tc>
        <w:tc>
          <w:tcPr>
            <w:tcW w:w="1060" w:type="dxa"/>
            <w:tcBorders>
              <w:top w:val="nil"/>
              <w:left w:val="nil"/>
              <w:bottom w:val="single" w:sz="8" w:space="0" w:color="auto"/>
              <w:right w:val="nil"/>
            </w:tcBorders>
            <w:tcMar>
              <w:top w:w="0" w:type="dxa"/>
              <w:left w:w="108" w:type="dxa"/>
              <w:bottom w:w="0" w:type="dxa"/>
              <w:right w:w="108" w:type="dxa"/>
            </w:tcMar>
            <w:hideMark/>
          </w:tcPr>
          <w:p w14:paraId="2FF35CD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450</w:t>
            </w:r>
          </w:p>
        </w:tc>
        <w:tc>
          <w:tcPr>
            <w:tcW w:w="918" w:type="dxa"/>
            <w:tcBorders>
              <w:top w:val="nil"/>
              <w:left w:val="nil"/>
              <w:bottom w:val="single" w:sz="8" w:space="0" w:color="auto"/>
              <w:right w:val="nil"/>
            </w:tcBorders>
            <w:tcMar>
              <w:top w:w="0" w:type="dxa"/>
              <w:left w:w="108" w:type="dxa"/>
              <w:bottom w:w="0" w:type="dxa"/>
              <w:right w:w="108" w:type="dxa"/>
            </w:tcMar>
            <w:hideMark/>
          </w:tcPr>
          <w:p w14:paraId="263DC1D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15</w:t>
            </w:r>
          </w:p>
        </w:tc>
        <w:tc>
          <w:tcPr>
            <w:tcW w:w="1060" w:type="dxa"/>
            <w:tcBorders>
              <w:top w:val="nil"/>
              <w:left w:val="nil"/>
              <w:bottom w:val="single" w:sz="8" w:space="0" w:color="auto"/>
              <w:right w:val="nil"/>
            </w:tcBorders>
            <w:tcMar>
              <w:top w:w="0" w:type="dxa"/>
              <w:left w:w="108" w:type="dxa"/>
              <w:bottom w:w="0" w:type="dxa"/>
              <w:right w:w="108" w:type="dxa"/>
            </w:tcMar>
            <w:hideMark/>
          </w:tcPr>
          <w:p w14:paraId="2A41C96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73</w:t>
            </w:r>
          </w:p>
        </w:tc>
        <w:tc>
          <w:tcPr>
            <w:tcW w:w="918" w:type="dxa"/>
            <w:tcBorders>
              <w:top w:val="nil"/>
              <w:left w:val="nil"/>
              <w:bottom w:val="single" w:sz="8" w:space="0" w:color="auto"/>
              <w:right w:val="nil"/>
            </w:tcBorders>
            <w:tcMar>
              <w:top w:w="0" w:type="dxa"/>
              <w:left w:w="108" w:type="dxa"/>
              <w:bottom w:w="0" w:type="dxa"/>
              <w:right w:w="108" w:type="dxa"/>
            </w:tcMar>
            <w:hideMark/>
          </w:tcPr>
          <w:p w14:paraId="38D8DAD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264</w:t>
            </w:r>
          </w:p>
        </w:tc>
        <w:tc>
          <w:tcPr>
            <w:tcW w:w="1059" w:type="dxa"/>
            <w:tcBorders>
              <w:top w:val="nil"/>
              <w:left w:val="nil"/>
              <w:bottom w:val="single" w:sz="8" w:space="0" w:color="auto"/>
              <w:right w:val="nil"/>
            </w:tcBorders>
            <w:tcMar>
              <w:top w:w="0" w:type="dxa"/>
              <w:left w:w="108" w:type="dxa"/>
              <w:bottom w:w="0" w:type="dxa"/>
              <w:right w:w="108" w:type="dxa"/>
            </w:tcMar>
            <w:hideMark/>
          </w:tcPr>
          <w:p w14:paraId="724F990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92</w:t>
            </w:r>
          </w:p>
        </w:tc>
        <w:tc>
          <w:tcPr>
            <w:tcW w:w="776" w:type="dxa"/>
            <w:tcBorders>
              <w:top w:val="nil"/>
              <w:left w:val="nil"/>
              <w:bottom w:val="single" w:sz="8" w:space="0" w:color="auto"/>
              <w:right w:val="nil"/>
            </w:tcBorders>
            <w:tcMar>
              <w:top w:w="0" w:type="dxa"/>
              <w:left w:w="108" w:type="dxa"/>
              <w:bottom w:w="0" w:type="dxa"/>
              <w:right w:w="108" w:type="dxa"/>
            </w:tcMar>
            <w:hideMark/>
          </w:tcPr>
          <w:p w14:paraId="72AEB39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894</w:t>
            </w:r>
          </w:p>
        </w:tc>
      </w:tr>
      <w:tr w:rsidR="006E5C07" w:rsidRPr="006E5C07" w14:paraId="60A662CE" w14:textId="77777777" w:rsidTr="006E5C07">
        <w:tc>
          <w:tcPr>
            <w:tcW w:w="2194" w:type="dxa"/>
            <w:tcMar>
              <w:top w:w="0" w:type="dxa"/>
              <w:left w:w="108" w:type="dxa"/>
              <w:bottom w:w="0" w:type="dxa"/>
              <w:right w:w="108" w:type="dxa"/>
            </w:tcMar>
            <w:hideMark/>
          </w:tcPr>
          <w:p w14:paraId="3C55E0C3"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At 31 December 2020</w:t>
            </w:r>
          </w:p>
        </w:tc>
        <w:tc>
          <w:tcPr>
            <w:tcW w:w="1060" w:type="dxa"/>
            <w:tcBorders>
              <w:top w:val="nil"/>
              <w:left w:val="nil"/>
              <w:bottom w:val="single" w:sz="12" w:space="0" w:color="auto"/>
              <w:right w:val="nil"/>
            </w:tcBorders>
            <w:tcMar>
              <w:top w:w="0" w:type="dxa"/>
              <w:left w:w="108" w:type="dxa"/>
              <w:bottom w:w="0" w:type="dxa"/>
              <w:right w:w="108" w:type="dxa"/>
            </w:tcMar>
            <w:hideMark/>
          </w:tcPr>
          <w:p w14:paraId="459C765A"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294</w:t>
            </w:r>
          </w:p>
        </w:tc>
        <w:tc>
          <w:tcPr>
            <w:tcW w:w="918" w:type="dxa"/>
            <w:tcBorders>
              <w:top w:val="nil"/>
              <w:left w:val="nil"/>
              <w:bottom w:val="single" w:sz="12" w:space="0" w:color="auto"/>
              <w:right w:val="nil"/>
            </w:tcBorders>
            <w:tcMar>
              <w:top w:w="0" w:type="dxa"/>
              <w:left w:w="108" w:type="dxa"/>
              <w:bottom w:w="0" w:type="dxa"/>
              <w:right w:w="108" w:type="dxa"/>
            </w:tcMar>
            <w:hideMark/>
          </w:tcPr>
          <w:p w14:paraId="1E75288C"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15</w:t>
            </w:r>
          </w:p>
        </w:tc>
        <w:tc>
          <w:tcPr>
            <w:tcW w:w="1060" w:type="dxa"/>
            <w:tcBorders>
              <w:top w:val="nil"/>
              <w:left w:val="nil"/>
              <w:bottom w:val="single" w:sz="12" w:space="0" w:color="auto"/>
              <w:right w:val="nil"/>
            </w:tcBorders>
            <w:tcMar>
              <w:top w:w="0" w:type="dxa"/>
              <w:left w:w="108" w:type="dxa"/>
              <w:bottom w:w="0" w:type="dxa"/>
              <w:right w:w="108" w:type="dxa"/>
            </w:tcMar>
            <w:hideMark/>
          </w:tcPr>
          <w:p w14:paraId="0FA15223"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29</w:t>
            </w:r>
          </w:p>
        </w:tc>
        <w:tc>
          <w:tcPr>
            <w:tcW w:w="918" w:type="dxa"/>
            <w:tcBorders>
              <w:top w:val="nil"/>
              <w:left w:val="nil"/>
              <w:bottom w:val="single" w:sz="12" w:space="0" w:color="auto"/>
              <w:right w:val="nil"/>
            </w:tcBorders>
            <w:tcMar>
              <w:top w:w="0" w:type="dxa"/>
              <w:left w:w="108" w:type="dxa"/>
              <w:bottom w:w="0" w:type="dxa"/>
              <w:right w:w="108" w:type="dxa"/>
            </w:tcMar>
            <w:hideMark/>
          </w:tcPr>
          <w:p w14:paraId="3AD8C2EF"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622</w:t>
            </w:r>
          </w:p>
        </w:tc>
        <w:tc>
          <w:tcPr>
            <w:tcW w:w="1059" w:type="dxa"/>
            <w:tcBorders>
              <w:top w:val="nil"/>
              <w:left w:val="nil"/>
              <w:bottom w:val="single" w:sz="12" w:space="0" w:color="auto"/>
              <w:right w:val="nil"/>
            </w:tcBorders>
            <w:tcMar>
              <w:top w:w="0" w:type="dxa"/>
              <w:left w:w="108" w:type="dxa"/>
              <w:bottom w:w="0" w:type="dxa"/>
              <w:right w:w="108" w:type="dxa"/>
            </w:tcMar>
            <w:hideMark/>
          </w:tcPr>
          <w:p w14:paraId="28BB29D6"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68</w:t>
            </w:r>
          </w:p>
        </w:tc>
        <w:tc>
          <w:tcPr>
            <w:tcW w:w="776" w:type="dxa"/>
            <w:tcBorders>
              <w:top w:val="nil"/>
              <w:left w:val="nil"/>
              <w:bottom w:val="single" w:sz="12" w:space="0" w:color="auto"/>
              <w:right w:val="nil"/>
            </w:tcBorders>
            <w:tcMar>
              <w:top w:w="0" w:type="dxa"/>
              <w:left w:w="108" w:type="dxa"/>
              <w:bottom w:w="0" w:type="dxa"/>
              <w:right w:w="108" w:type="dxa"/>
            </w:tcMar>
            <w:hideMark/>
          </w:tcPr>
          <w:p w14:paraId="2F40B682"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1,028</w:t>
            </w:r>
          </w:p>
        </w:tc>
      </w:tr>
    </w:tbl>
    <w:p w14:paraId="6A2960E9"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5077AFF2"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The right of use lease liabilities are secured against the right of use assets.</w:t>
      </w:r>
    </w:p>
    <w:p w14:paraId="1AA5C6EF" w14:textId="77777777" w:rsidR="006E5C07" w:rsidRPr="006E5C07" w:rsidRDefault="006E5C07" w:rsidP="006E5C07">
      <w:pPr>
        <w:spacing w:after="0" w:line="240" w:lineRule="auto"/>
        <w:ind w:left="1233"/>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64CD8781" w14:textId="77777777" w:rsidR="006E5C07" w:rsidRPr="006E5C07" w:rsidRDefault="006E5C07" w:rsidP="006E5C07">
      <w:pPr>
        <w:spacing w:after="0" w:line="240" w:lineRule="auto"/>
        <w:ind w:left="1800" w:hanging="927"/>
        <w:rPr>
          <w:rFonts w:ascii="Calibri" w:eastAsia="Times New Roman" w:hAnsi="Calibri" w:cs="Calibri"/>
          <w:b/>
          <w:bCs/>
          <w:color w:val="16202C"/>
        </w:rPr>
      </w:pPr>
      <w:r w:rsidRPr="006E5C07">
        <w:rPr>
          <w:rFonts w:ascii="Gill Sans MT" w:eastAsia="Times New Roman" w:hAnsi="Gill Sans MT" w:cs="Calibri"/>
          <w:b/>
          <w:bCs/>
          <w:color w:val="16202C"/>
          <w:sz w:val="18"/>
          <w:szCs w:val="18"/>
        </w:rPr>
        <w:t>17. Trade and other receivables</w:t>
      </w:r>
    </w:p>
    <w:p w14:paraId="3BD4410C" w14:textId="77777777" w:rsidR="006E5C07" w:rsidRPr="006E5C07" w:rsidRDefault="006E5C07" w:rsidP="006E5C07">
      <w:pPr>
        <w:spacing w:line="240" w:lineRule="auto"/>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2679"/>
        <w:gridCol w:w="1582"/>
        <w:gridCol w:w="1465"/>
        <w:gridCol w:w="755"/>
        <w:gridCol w:w="1465"/>
      </w:tblGrid>
      <w:tr w:rsidR="006E5C07" w:rsidRPr="006E5C07" w14:paraId="7AE479F5" w14:textId="77777777" w:rsidTr="006E5C07">
        <w:tc>
          <w:tcPr>
            <w:tcW w:w="2679" w:type="dxa"/>
            <w:tcMar>
              <w:top w:w="0" w:type="dxa"/>
              <w:left w:w="108" w:type="dxa"/>
              <w:bottom w:w="0" w:type="dxa"/>
              <w:right w:w="108" w:type="dxa"/>
            </w:tcMar>
            <w:hideMark/>
          </w:tcPr>
          <w:p w14:paraId="58D03363" w14:textId="77777777" w:rsidR="006E5C07" w:rsidRPr="006E5C07" w:rsidRDefault="006E5C07" w:rsidP="006E5C07">
            <w:pPr>
              <w:spacing w:after="0" w:line="240" w:lineRule="auto"/>
              <w:rPr>
                <w:rFonts w:ascii="Calibri" w:eastAsia="Times New Roman" w:hAnsi="Calibri" w:cs="Calibri"/>
              </w:rPr>
            </w:pPr>
          </w:p>
        </w:tc>
        <w:tc>
          <w:tcPr>
            <w:tcW w:w="1582" w:type="dxa"/>
            <w:tcMar>
              <w:top w:w="0" w:type="dxa"/>
              <w:left w:w="108" w:type="dxa"/>
              <w:bottom w:w="0" w:type="dxa"/>
              <w:right w:w="108" w:type="dxa"/>
            </w:tcMar>
            <w:hideMark/>
          </w:tcPr>
          <w:p w14:paraId="4650487D" w14:textId="77777777" w:rsidR="006E5C07" w:rsidRPr="006E5C07" w:rsidRDefault="006E5C07" w:rsidP="006E5C07">
            <w:pPr>
              <w:spacing w:after="0" w:line="240" w:lineRule="auto"/>
              <w:jc w:val="right"/>
              <w:rPr>
                <w:rFonts w:ascii="Calibri" w:eastAsia="Times New Roman" w:hAnsi="Calibri" w:cs="Calibri"/>
              </w:rPr>
            </w:pPr>
          </w:p>
        </w:tc>
        <w:tc>
          <w:tcPr>
            <w:tcW w:w="1465" w:type="dxa"/>
            <w:tcMar>
              <w:top w:w="0" w:type="dxa"/>
              <w:left w:w="108" w:type="dxa"/>
              <w:bottom w:w="0" w:type="dxa"/>
              <w:right w:w="108" w:type="dxa"/>
            </w:tcMar>
            <w:hideMark/>
          </w:tcPr>
          <w:p w14:paraId="10F9AFF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'20</w:t>
            </w:r>
          </w:p>
        </w:tc>
        <w:tc>
          <w:tcPr>
            <w:tcW w:w="755" w:type="dxa"/>
            <w:tcMar>
              <w:top w:w="0" w:type="dxa"/>
              <w:left w:w="108" w:type="dxa"/>
              <w:bottom w:w="0" w:type="dxa"/>
              <w:right w:w="108" w:type="dxa"/>
            </w:tcMar>
            <w:hideMark/>
          </w:tcPr>
          <w:p w14:paraId="55E148D0" w14:textId="77777777" w:rsidR="006E5C07" w:rsidRPr="006E5C07" w:rsidRDefault="006E5C07" w:rsidP="006E5C07">
            <w:pPr>
              <w:spacing w:after="0" w:line="240" w:lineRule="auto"/>
              <w:jc w:val="right"/>
              <w:rPr>
                <w:rFonts w:ascii="Calibri" w:eastAsia="Times New Roman" w:hAnsi="Calibri" w:cs="Calibri"/>
              </w:rPr>
            </w:pPr>
          </w:p>
        </w:tc>
        <w:tc>
          <w:tcPr>
            <w:tcW w:w="1465" w:type="dxa"/>
            <w:tcMar>
              <w:top w:w="0" w:type="dxa"/>
              <w:left w:w="108" w:type="dxa"/>
              <w:bottom w:w="0" w:type="dxa"/>
              <w:right w:w="108" w:type="dxa"/>
            </w:tcMar>
            <w:hideMark/>
          </w:tcPr>
          <w:p w14:paraId="3EB32D7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'19</w:t>
            </w:r>
          </w:p>
        </w:tc>
      </w:tr>
      <w:tr w:rsidR="006E5C07" w:rsidRPr="006E5C07" w14:paraId="5479EB63" w14:textId="77777777" w:rsidTr="006E5C07">
        <w:tc>
          <w:tcPr>
            <w:tcW w:w="2679" w:type="dxa"/>
            <w:tcMar>
              <w:top w:w="0" w:type="dxa"/>
              <w:left w:w="108" w:type="dxa"/>
              <w:bottom w:w="0" w:type="dxa"/>
              <w:right w:w="108" w:type="dxa"/>
            </w:tcMar>
            <w:hideMark/>
          </w:tcPr>
          <w:p w14:paraId="2A27A7A3" w14:textId="77777777" w:rsidR="006E5C07" w:rsidRPr="006E5C07" w:rsidRDefault="006E5C07" w:rsidP="006E5C07">
            <w:pPr>
              <w:spacing w:after="0" w:line="240" w:lineRule="auto"/>
              <w:rPr>
                <w:rFonts w:ascii="Calibri" w:eastAsia="Times New Roman" w:hAnsi="Calibri" w:cs="Calibri"/>
              </w:rPr>
            </w:pPr>
          </w:p>
        </w:tc>
        <w:tc>
          <w:tcPr>
            <w:tcW w:w="1582" w:type="dxa"/>
            <w:tcMar>
              <w:top w:w="0" w:type="dxa"/>
              <w:left w:w="108" w:type="dxa"/>
              <w:bottom w:w="0" w:type="dxa"/>
              <w:right w:w="108" w:type="dxa"/>
            </w:tcMar>
            <w:hideMark/>
          </w:tcPr>
          <w:p w14:paraId="4E56E6F7" w14:textId="77777777" w:rsidR="006E5C07" w:rsidRPr="006E5C07" w:rsidRDefault="006E5C07" w:rsidP="006E5C07">
            <w:pPr>
              <w:spacing w:after="0" w:line="240" w:lineRule="auto"/>
              <w:jc w:val="right"/>
              <w:rPr>
                <w:rFonts w:ascii="Calibri" w:eastAsia="Times New Roman" w:hAnsi="Calibri" w:cs="Calibri"/>
              </w:rPr>
            </w:pPr>
          </w:p>
        </w:tc>
        <w:tc>
          <w:tcPr>
            <w:tcW w:w="1465" w:type="dxa"/>
            <w:tcMar>
              <w:top w:w="0" w:type="dxa"/>
              <w:left w:w="108" w:type="dxa"/>
              <w:bottom w:w="0" w:type="dxa"/>
              <w:right w:w="108" w:type="dxa"/>
            </w:tcMar>
            <w:hideMark/>
          </w:tcPr>
          <w:p w14:paraId="76E767E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755" w:type="dxa"/>
            <w:tcMar>
              <w:top w:w="0" w:type="dxa"/>
              <w:left w:w="108" w:type="dxa"/>
              <w:bottom w:w="0" w:type="dxa"/>
              <w:right w:w="108" w:type="dxa"/>
            </w:tcMar>
            <w:hideMark/>
          </w:tcPr>
          <w:p w14:paraId="2689B80D" w14:textId="77777777" w:rsidR="006E5C07" w:rsidRPr="006E5C07" w:rsidRDefault="006E5C07" w:rsidP="006E5C07">
            <w:pPr>
              <w:spacing w:after="0" w:line="240" w:lineRule="auto"/>
              <w:jc w:val="right"/>
              <w:rPr>
                <w:rFonts w:ascii="Calibri" w:eastAsia="Times New Roman" w:hAnsi="Calibri" w:cs="Calibri"/>
              </w:rPr>
            </w:pPr>
          </w:p>
        </w:tc>
        <w:tc>
          <w:tcPr>
            <w:tcW w:w="1465" w:type="dxa"/>
            <w:tcMar>
              <w:top w:w="0" w:type="dxa"/>
              <w:left w:w="108" w:type="dxa"/>
              <w:bottom w:w="0" w:type="dxa"/>
              <w:right w:w="108" w:type="dxa"/>
            </w:tcMar>
            <w:hideMark/>
          </w:tcPr>
          <w:p w14:paraId="0C6687F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61C02B98" w14:textId="77777777" w:rsidTr="006E5C07">
        <w:tc>
          <w:tcPr>
            <w:tcW w:w="2679" w:type="dxa"/>
            <w:tcMar>
              <w:top w:w="0" w:type="dxa"/>
              <w:left w:w="108" w:type="dxa"/>
              <w:bottom w:w="0" w:type="dxa"/>
              <w:right w:w="108" w:type="dxa"/>
            </w:tcMar>
            <w:hideMark/>
          </w:tcPr>
          <w:p w14:paraId="64480FB3" w14:textId="77777777" w:rsidR="006E5C07" w:rsidRPr="006E5C07" w:rsidRDefault="006E5C07" w:rsidP="006E5C07">
            <w:pPr>
              <w:spacing w:after="0" w:line="240" w:lineRule="auto"/>
              <w:rPr>
                <w:rFonts w:ascii="Calibri" w:eastAsia="Times New Roman" w:hAnsi="Calibri" w:cs="Calibri"/>
              </w:rPr>
            </w:pPr>
          </w:p>
        </w:tc>
        <w:tc>
          <w:tcPr>
            <w:tcW w:w="1582" w:type="dxa"/>
            <w:tcMar>
              <w:top w:w="0" w:type="dxa"/>
              <w:left w:w="108" w:type="dxa"/>
              <w:bottom w:w="0" w:type="dxa"/>
              <w:right w:w="108" w:type="dxa"/>
            </w:tcMar>
            <w:hideMark/>
          </w:tcPr>
          <w:p w14:paraId="3B8F44F5" w14:textId="77777777" w:rsidR="006E5C07" w:rsidRPr="006E5C07" w:rsidRDefault="006E5C07" w:rsidP="006E5C07">
            <w:pPr>
              <w:spacing w:after="0" w:line="240" w:lineRule="auto"/>
              <w:jc w:val="right"/>
              <w:rPr>
                <w:rFonts w:ascii="Calibri" w:eastAsia="Times New Roman" w:hAnsi="Calibri" w:cs="Calibri"/>
              </w:rPr>
            </w:pPr>
          </w:p>
        </w:tc>
        <w:tc>
          <w:tcPr>
            <w:tcW w:w="1465" w:type="dxa"/>
            <w:tcMar>
              <w:top w:w="0" w:type="dxa"/>
              <w:left w:w="108" w:type="dxa"/>
              <w:bottom w:w="0" w:type="dxa"/>
              <w:right w:w="108" w:type="dxa"/>
            </w:tcMar>
            <w:hideMark/>
          </w:tcPr>
          <w:p w14:paraId="0255394F" w14:textId="77777777" w:rsidR="006E5C07" w:rsidRPr="006E5C07" w:rsidRDefault="006E5C07" w:rsidP="006E5C07">
            <w:pPr>
              <w:spacing w:after="0" w:line="240" w:lineRule="auto"/>
              <w:jc w:val="right"/>
              <w:rPr>
                <w:rFonts w:ascii="Calibri" w:eastAsia="Times New Roman" w:hAnsi="Calibri" w:cs="Calibri"/>
              </w:rPr>
            </w:pPr>
          </w:p>
        </w:tc>
        <w:tc>
          <w:tcPr>
            <w:tcW w:w="755" w:type="dxa"/>
            <w:tcMar>
              <w:top w:w="0" w:type="dxa"/>
              <w:left w:w="108" w:type="dxa"/>
              <w:bottom w:w="0" w:type="dxa"/>
              <w:right w:w="108" w:type="dxa"/>
            </w:tcMar>
            <w:hideMark/>
          </w:tcPr>
          <w:p w14:paraId="1A84380F" w14:textId="77777777" w:rsidR="006E5C07" w:rsidRPr="006E5C07" w:rsidRDefault="006E5C07" w:rsidP="006E5C07">
            <w:pPr>
              <w:spacing w:after="0" w:line="240" w:lineRule="auto"/>
              <w:jc w:val="right"/>
              <w:rPr>
                <w:rFonts w:ascii="Calibri" w:eastAsia="Times New Roman" w:hAnsi="Calibri" w:cs="Calibri"/>
              </w:rPr>
            </w:pPr>
          </w:p>
        </w:tc>
        <w:tc>
          <w:tcPr>
            <w:tcW w:w="1465" w:type="dxa"/>
            <w:tcMar>
              <w:top w:w="0" w:type="dxa"/>
              <w:left w:w="108" w:type="dxa"/>
              <w:bottom w:w="0" w:type="dxa"/>
              <w:right w:w="108" w:type="dxa"/>
            </w:tcMar>
            <w:hideMark/>
          </w:tcPr>
          <w:p w14:paraId="5D675F4E"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06225401" w14:textId="77777777" w:rsidTr="006E5C07">
        <w:tc>
          <w:tcPr>
            <w:tcW w:w="2679" w:type="dxa"/>
            <w:tcMar>
              <w:top w:w="0" w:type="dxa"/>
              <w:left w:w="108" w:type="dxa"/>
              <w:bottom w:w="0" w:type="dxa"/>
              <w:right w:w="108" w:type="dxa"/>
            </w:tcMar>
            <w:hideMark/>
          </w:tcPr>
          <w:p w14:paraId="2455548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Trade debtors</w:t>
            </w:r>
          </w:p>
        </w:tc>
        <w:tc>
          <w:tcPr>
            <w:tcW w:w="1582" w:type="dxa"/>
            <w:tcMar>
              <w:top w:w="0" w:type="dxa"/>
              <w:left w:w="108" w:type="dxa"/>
              <w:bottom w:w="0" w:type="dxa"/>
              <w:right w:w="108" w:type="dxa"/>
            </w:tcMar>
            <w:hideMark/>
          </w:tcPr>
          <w:p w14:paraId="78980DD0" w14:textId="77777777" w:rsidR="006E5C07" w:rsidRPr="006E5C07" w:rsidRDefault="006E5C07" w:rsidP="006E5C07">
            <w:pPr>
              <w:spacing w:after="0" w:line="240" w:lineRule="auto"/>
              <w:jc w:val="right"/>
              <w:rPr>
                <w:rFonts w:ascii="Calibri" w:eastAsia="Times New Roman" w:hAnsi="Calibri" w:cs="Calibri"/>
              </w:rPr>
            </w:pPr>
          </w:p>
        </w:tc>
        <w:tc>
          <w:tcPr>
            <w:tcW w:w="1465" w:type="dxa"/>
            <w:tcMar>
              <w:top w:w="0" w:type="dxa"/>
              <w:left w:w="108" w:type="dxa"/>
              <w:bottom w:w="0" w:type="dxa"/>
              <w:right w:w="108" w:type="dxa"/>
            </w:tcMar>
            <w:hideMark/>
          </w:tcPr>
          <w:p w14:paraId="7C56D7C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1,545</w:t>
            </w:r>
          </w:p>
        </w:tc>
        <w:tc>
          <w:tcPr>
            <w:tcW w:w="755" w:type="dxa"/>
            <w:tcMar>
              <w:top w:w="0" w:type="dxa"/>
              <w:left w:w="108" w:type="dxa"/>
              <w:bottom w:w="0" w:type="dxa"/>
              <w:right w:w="108" w:type="dxa"/>
            </w:tcMar>
            <w:hideMark/>
          </w:tcPr>
          <w:p w14:paraId="2AA1BB66" w14:textId="77777777" w:rsidR="006E5C07" w:rsidRPr="006E5C07" w:rsidRDefault="006E5C07" w:rsidP="006E5C07">
            <w:pPr>
              <w:spacing w:after="0" w:line="240" w:lineRule="auto"/>
              <w:jc w:val="right"/>
              <w:rPr>
                <w:rFonts w:ascii="Calibri" w:eastAsia="Times New Roman" w:hAnsi="Calibri" w:cs="Calibri"/>
              </w:rPr>
            </w:pPr>
          </w:p>
        </w:tc>
        <w:tc>
          <w:tcPr>
            <w:tcW w:w="1465" w:type="dxa"/>
            <w:tcMar>
              <w:top w:w="0" w:type="dxa"/>
              <w:left w:w="108" w:type="dxa"/>
              <w:bottom w:w="0" w:type="dxa"/>
              <w:right w:w="108" w:type="dxa"/>
            </w:tcMar>
            <w:hideMark/>
          </w:tcPr>
          <w:p w14:paraId="199F0F8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2,840</w:t>
            </w:r>
          </w:p>
        </w:tc>
      </w:tr>
      <w:tr w:rsidR="006E5C07" w:rsidRPr="006E5C07" w14:paraId="480CB2A7" w14:textId="77777777" w:rsidTr="006E5C07">
        <w:tc>
          <w:tcPr>
            <w:tcW w:w="2679" w:type="dxa"/>
            <w:tcMar>
              <w:top w:w="0" w:type="dxa"/>
              <w:left w:w="108" w:type="dxa"/>
              <w:bottom w:w="0" w:type="dxa"/>
              <w:right w:w="108" w:type="dxa"/>
            </w:tcMar>
            <w:hideMark/>
          </w:tcPr>
          <w:p w14:paraId="6DFD6E2C"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Other debtors</w:t>
            </w:r>
          </w:p>
        </w:tc>
        <w:tc>
          <w:tcPr>
            <w:tcW w:w="1582" w:type="dxa"/>
            <w:tcMar>
              <w:top w:w="0" w:type="dxa"/>
              <w:left w:w="108" w:type="dxa"/>
              <w:bottom w:w="0" w:type="dxa"/>
              <w:right w:w="108" w:type="dxa"/>
            </w:tcMar>
            <w:hideMark/>
          </w:tcPr>
          <w:p w14:paraId="2E787696" w14:textId="77777777" w:rsidR="006E5C07" w:rsidRPr="006E5C07" w:rsidRDefault="006E5C07" w:rsidP="006E5C07">
            <w:pPr>
              <w:spacing w:after="0" w:line="240" w:lineRule="auto"/>
              <w:jc w:val="right"/>
              <w:rPr>
                <w:rFonts w:ascii="Calibri" w:eastAsia="Times New Roman" w:hAnsi="Calibri" w:cs="Calibri"/>
              </w:rPr>
            </w:pPr>
          </w:p>
        </w:tc>
        <w:tc>
          <w:tcPr>
            <w:tcW w:w="1465" w:type="dxa"/>
            <w:tcMar>
              <w:top w:w="0" w:type="dxa"/>
              <w:left w:w="108" w:type="dxa"/>
              <w:bottom w:w="0" w:type="dxa"/>
              <w:right w:w="108" w:type="dxa"/>
            </w:tcMar>
            <w:hideMark/>
          </w:tcPr>
          <w:p w14:paraId="5E6A21D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110</w:t>
            </w:r>
          </w:p>
        </w:tc>
        <w:tc>
          <w:tcPr>
            <w:tcW w:w="755" w:type="dxa"/>
            <w:tcMar>
              <w:top w:w="0" w:type="dxa"/>
              <w:left w:w="108" w:type="dxa"/>
              <w:bottom w:w="0" w:type="dxa"/>
              <w:right w:w="108" w:type="dxa"/>
            </w:tcMar>
            <w:hideMark/>
          </w:tcPr>
          <w:p w14:paraId="28A15501" w14:textId="77777777" w:rsidR="006E5C07" w:rsidRPr="006E5C07" w:rsidRDefault="006E5C07" w:rsidP="006E5C07">
            <w:pPr>
              <w:spacing w:after="0" w:line="240" w:lineRule="auto"/>
              <w:jc w:val="right"/>
              <w:rPr>
                <w:rFonts w:ascii="Calibri" w:eastAsia="Times New Roman" w:hAnsi="Calibri" w:cs="Calibri"/>
              </w:rPr>
            </w:pPr>
          </w:p>
        </w:tc>
        <w:tc>
          <w:tcPr>
            <w:tcW w:w="1465" w:type="dxa"/>
            <w:tcMar>
              <w:top w:w="0" w:type="dxa"/>
              <w:left w:w="108" w:type="dxa"/>
              <w:bottom w:w="0" w:type="dxa"/>
              <w:right w:w="108" w:type="dxa"/>
            </w:tcMar>
            <w:hideMark/>
          </w:tcPr>
          <w:p w14:paraId="5046D2A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339</w:t>
            </w:r>
          </w:p>
        </w:tc>
      </w:tr>
      <w:tr w:rsidR="006E5C07" w:rsidRPr="006E5C07" w14:paraId="5B5EA797" w14:textId="77777777" w:rsidTr="006E5C07">
        <w:tc>
          <w:tcPr>
            <w:tcW w:w="2679" w:type="dxa"/>
            <w:tcMar>
              <w:top w:w="0" w:type="dxa"/>
              <w:left w:w="108" w:type="dxa"/>
              <w:bottom w:w="0" w:type="dxa"/>
              <w:right w:w="108" w:type="dxa"/>
            </w:tcMar>
            <w:hideMark/>
          </w:tcPr>
          <w:p w14:paraId="2A2E83E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Prepayments</w:t>
            </w:r>
          </w:p>
        </w:tc>
        <w:tc>
          <w:tcPr>
            <w:tcW w:w="1582" w:type="dxa"/>
            <w:tcMar>
              <w:top w:w="0" w:type="dxa"/>
              <w:left w:w="108" w:type="dxa"/>
              <w:bottom w:w="0" w:type="dxa"/>
              <w:right w:w="108" w:type="dxa"/>
            </w:tcMar>
            <w:hideMark/>
          </w:tcPr>
          <w:p w14:paraId="55877A47" w14:textId="77777777" w:rsidR="006E5C07" w:rsidRPr="006E5C07" w:rsidRDefault="006E5C07" w:rsidP="006E5C07">
            <w:pPr>
              <w:spacing w:after="0" w:line="240" w:lineRule="auto"/>
              <w:jc w:val="right"/>
              <w:rPr>
                <w:rFonts w:ascii="Calibri" w:eastAsia="Times New Roman" w:hAnsi="Calibri" w:cs="Calibri"/>
              </w:rPr>
            </w:pPr>
          </w:p>
        </w:tc>
        <w:tc>
          <w:tcPr>
            <w:tcW w:w="1465" w:type="dxa"/>
            <w:tcMar>
              <w:top w:w="0" w:type="dxa"/>
              <w:left w:w="108" w:type="dxa"/>
              <w:bottom w:w="0" w:type="dxa"/>
              <w:right w:w="108" w:type="dxa"/>
            </w:tcMar>
            <w:hideMark/>
          </w:tcPr>
          <w:p w14:paraId="496AE09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335</w:t>
            </w:r>
          </w:p>
        </w:tc>
        <w:tc>
          <w:tcPr>
            <w:tcW w:w="755" w:type="dxa"/>
            <w:tcMar>
              <w:top w:w="0" w:type="dxa"/>
              <w:left w:w="108" w:type="dxa"/>
              <w:bottom w:w="0" w:type="dxa"/>
              <w:right w:w="108" w:type="dxa"/>
            </w:tcMar>
            <w:hideMark/>
          </w:tcPr>
          <w:p w14:paraId="2435EE4C" w14:textId="77777777" w:rsidR="006E5C07" w:rsidRPr="006E5C07" w:rsidRDefault="006E5C07" w:rsidP="006E5C07">
            <w:pPr>
              <w:spacing w:after="0" w:line="240" w:lineRule="auto"/>
              <w:jc w:val="right"/>
              <w:rPr>
                <w:rFonts w:ascii="Calibri" w:eastAsia="Times New Roman" w:hAnsi="Calibri" w:cs="Calibri"/>
              </w:rPr>
            </w:pPr>
          </w:p>
        </w:tc>
        <w:tc>
          <w:tcPr>
            <w:tcW w:w="1465" w:type="dxa"/>
            <w:tcMar>
              <w:top w:w="0" w:type="dxa"/>
              <w:left w:w="108" w:type="dxa"/>
              <w:bottom w:w="0" w:type="dxa"/>
              <w:right w:w="108" w:type="dxa"/>
            </w:tcMar>
            <w:hideMark/>
          </w:tcPr>
          <w:p w14:paraId="4403A85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249</w:t>
            </w:r>
          </w:p>
        </w:tc>
      </w:tr>
      <w:tr w:rsidR="006E5C07" w:rsidRPr="006E5C07" w14:paraId="4054D41C" w14:textId="77777777" w:rsidTr="006E5C07">
        <w:tc>
          <w:tcPr>
            <w:tcW w:w="2679" w:type="dxa"/>
            <w:tcMar>
              <w:top w:w="0" w:type="dxa"/>
              <w:left w:w="108" w:type="dxa"/>
              <w:bottom w:w="0" w:type="dxa"/>
              <w:right w:w="108" w:type="dxa"/>
            </w:tcMar>
            <w:hideMark/>
          </w:tcPr>
          <w:p w14:paraId="59502159"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Total</w:t>
            </w:r>
          </w:p>
        </w:tc>
        <w:tc>
          <w:tcPr>
            <w:tcW w:w="1582" w:type="dxa"/>
            <w:tcMar>
              <w:top w:w="0" w:type="dxa"/>
              <w:left w:w="108" w:type="dxa"/>
              <w:bottom w:w="0" w:type="dxa"/>
              <w:right w:w="108" w:type="dxa"/>
            </w:tcMar>
            <w:hideMark/>
          </w:tcPr>
          <w:p w14:paraId="721C36D6" w14:textId="77777777" w:rsidR="006E5C07" w:rsidRPr="006E5C07" w:rsidRDefault="006E5C07" w:rsidP="006E5C07">
            <w:pPr>
              <w:spacing w:after="0" w:line="240" w:lineRule="auto"/>
              <w:jc w:val="right"/>
              <w:rPr>
                <w:rFonts w:ascii="Calibri" w:eastAsia="Times New Roman" w:hAnsi="Calibri" w:cs="Calibri"/>
                <w:b/>
                <w:bCs/>
              </w:rPr>
            </w:pPr>
          </w:p>
        </w:tc>
        <w:tc>
          <w:tcPr>
            <w:tcW w:w="1465" w:type="dxa"/>
            <w:tcBorders>
              <w:top w:val="single" w:sz="8" w:space="0" w:color="auto"/>
              <w:left w:val="nil"/>
              <w:bottom w:val="double" w:sz="6" w:space="0" w:color="auto"/>
              <w:right w:val="nil"/>
            </w:tcBorders>
            <w:tcMar>
              <w:top w:w="0" w:type="dxa"/>
              <w:left w:w="108" w:type="dxa"/>
              <w:bottom w:w="0" w:type="dxa"/>
              <w:right w:w="108" w:type="dxa"/>
            </w:tcMar>
            <w:hideMark/>
          </w:tcPr>
          <w:p w14:paraId="3F7091F9"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1,990</w:t>
            </w:r>
          </w:p>
        </w:tc>
        <w:tc>
          <w:tcPr>
            <w:tcW w:w="755" w:type="dxa"/>
            <w:tcMar>
              <w:top w:w="0" w:type="dxa"/>
              <w:left w:w="108" w:type="dxa"/>
              <w:bottom w:w="0" w:type="dxa"/>
              <w:right w:w="108" w:type="dxa"/>
            </w:tcMar>
            <w:hideMark/>
          </w:tcPr>
          <w:p w14:paraId="5C9CDC64" w14:textId="77777777" w:rsidR="006E5C07" w:rsidRPr="006E5C07" w:rsidRDefault="006E5C07" w:rsidP="006E5C07">
            <w:pPr>
              <w:spacing w:after="0" w:line="240" w:lineRule="auto"/>
              <w:jc w:val="right"/>
              <w:rPr>
                <w:rFonts w:ascii="Calibri" w:eastAsia="Times New Roman" w:hAnsi="Calibri" w:cs="Calibri"/>
                <w:b/>
                <w:bCs/>
              </w:rPr>
            </w:pPr>
          </w:p>
        </w:tc>
        <w:tc>
          <w:tcPr>
            <w:tcW w:w="1465" w:type="dxa"/>
            <w:tcBorders>
              <w:top w:val="single" w:sz="8" w:space="0" w:color="auto"/>
              <w:left w:val="nil"/>
              <w:bottom w:val="double" w:sz="6" w:space="0" w:color="auto"/>
              <w:right w:val="nil"/>
            </w:tcBorders>
            <w:tcMar>
              <w:top w:w="0" w:type="dxa"/>
              <w:left w:w="108" w:type="dxa"/>
              <w:bottom w:w="0" w:type="dxa"/>
              <w:right w:w="108" w:type="dxa"/>
            </w:tcMar>
            <w:hideMark/>
          </w:tcPr>
          <w:p w14:paraId="08BFC77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3,428</w:t>
            </w:r>
          </w:p>
        </w:tc>
      </w:tr>
    </w:tbl>
    <w:p w14:paraId="115A1DE0" w14:textId="77777777" w:rsidR="006E5C07" w:rsidRPr="006E5C07" w:rsidRDefault="006E5C07" w:rsidP="006E5C07">
      <w:pPr>
        <w:spacing w:line="240" w:lineRule="auto"/>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2903"/>
        <w:gridCol w:w="1365"/>
        <w:gridCol w:w="1460"/>
        <w:gridCol w:w="758"/>
        <w:gridCol w:w="1460"/>
      </w:tblGrid>
      <w:tr w:rsidR="006E5C07" w:rsidRPr="006E5C07" w14:paraId="322EE51D" w14:textId="77777777" w:rsidTr="006E5C07">
        <w:tc>
          <w:tcPr>
            <w:tcW w:w="2903" w:type="dxa"/>
            <w:tcMar>
              <w:top w:w="0" w:type="dxa"/>
              <w:left w:w="108" w:type="dxa"/>
              <w:bottom w:w="0" w:type="dxa"/>
              <w:right w:w="108" w:type="dxa"/>
            </w:tcMar>
            <w:hideMark/>
          </w:tcPr>
          <w:p w14:paraId="4938DCD6"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Amounts falling due after more than one year included above are:</w:t>
            </w:r>
          </w:p>
        </w:tc>
        <w:tc>
          <w:tcPr>
            <w:tcW w:w="1365" w:type="dxa"/>
            <w:tcMar>
              <w:top w:w="0" w:type="dxa"/>
              <w:left w:w="108" w:type="dxa"/>
              <w:bottom w:w="0" w:type="dxa"/>
              <w:right w:w="108" w:type="dxa"/>
            </w:tcMar>
            <w:hideMark/>
          </w:tcPr>
          <w:p w14:paraId="257CDC01" w14:textId="77777777" w:rsidR="006E5C07" w:rsidRPr="006E5C07" w:rsidRDefault="006E5C07" w:rsidP="006E5C07">
            <w:pPr>
              <w:spacing w:after="0" w:line="240" w:lineRule="auto"/>
              <w:jc w:val="right"/>
              <w:rPr>
                <w:rFonts w:ascii="Calibri" w:eastAsia="Times New Roman" w:hAnsi="Calibri" w:cs="Calibri"/>
              </w:rPr>
            </w:pPr>
          </w:p>
        </w:tc>
        <w:tc>
          <w:tcPr>
            <w:tcW w:w="1460" w:type="dxa"/>
            <w:tcMar>
              <w:top w:w="0" w:type="dxa"/>
              <w:left w:w="108" w:type="dxa"/>
              <w:bottom w:w="0" w:type="dxa"/>
              <w:right w:w="108" w:type="dxa"/>
            </w:tcMar>
            <w:hideMark/>
          </w:tcPr>
          <w:p w14:paraId="4210D92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92</w:t>
            </w:r>
          </w:p>
        </w:tc>
        <w:tc>
          <w:tcPr>
            <w:tcW w:w="758" w:type="dxa"/>
            <w:tcMar>
              <w:top w:w="0" w:type="dxa"/>
              <w:left w:w="108" w:type="dxa"/>
              <w:bottom w:w="0" w:type="dxa"/>
              <w:right w:w="108" w:type="dxa"/>
            </w:tcMar>
            <w:hideMark/>
          </w:tcPr>
          <w:p w14:paraId="1B68396A" w14:textId="77777777" w:rsidR="006E5C07" w:rsidRPr="006E5C07" w:rsidRDefault="006E5C07" w:rsidP="006E5C07">
            <w:pPr>
              <w:spacing w:after="0" w:line="240" w:lineRule="auto"/>
              <w:rPr>
                <w:rFonts w:ascii="Calibri" w:eastAsia="Times New Roman" w:hAnsi="Calibri" w:cs="Calibri"/>
              </w:rPr>
            </w:pPr>
          </w:p>
        </w:tc>
        <w:tc>
          <w:tcPr>
            <w:tcW w:w="1460" w:type="dxa"/>
            <w:tcMar>
              <w:top w:w="0" w:type="dxa"/>
              <w:left w:w="108" w:type="dxa"/>
              <w:bottom w:w="0" w:type="dxa"/>
              <w:right w:w="108" w:type="dxa"/>
            </w:tcMar>
            <w:hideMark/>
          </w:tcPr>
          <w:p w14:paraId="086F557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417</w:t>
            </w:r>
          </w:p>
        </w:tc>
      </w:tr>
    </w:tbl>
    <w:p w14:paraId="4C18616D" w14:textId="77777777" w:rsidR="006E5C07" w:rsidRPr="006E5C07" w:rsidRDefault="006E5C07" w:rsidP="006E5C07">
      <w:pPr>
        <w:spacing w:after="0" w:line="240" w:lineRule="auto"/>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5E5E6EE8"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67D1B217"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maximum exposure to credit risk at the balance sheet date is the carrying amount of receivables detailed above. The Group does not hold any collateral as security.</w:t>
      </w:r>
    </w:p>
    <w:p w14:paraId="72AA0733"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7FE3307A"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Directors do not believe that there is a significant concentration of credit risk within the trade receivables balance. As of 31 December 2020, trade receivables of £1.1 million (2019: £1.2 million) were past due but not impaired.</w:t>
      </w:r>
    </w:p>
    <w:p w14:paraId="49C7A963"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0BBA188E"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The ageing of trade debtors:</w:t>
      </w:r>
    </w:p>
    <w:p w14:paraId="7D4CAE0A" w14:textId="77777777" w:rsidR="006E5C07" w:rsidRPr="006E5C07" w:rsidRDefault="006E5C07" w:rsidP="006E5C07">
      <w:pPr>
        <w:spacing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2220"/>
        <w:gridCol w:w="901"/>
        <w:gridCol w:w="222"/>
        <w:gridCol w:w="890"/>
        <w:gridCol w:w="222"/>
        <w:gridCol w:w="1005"/>
        <w:gridCol w:w="222"/>
        <w:gridCol w:w="800"/>
        <w:gridCol w:w="222"/>
        <w:gridCol w:w="850"/>
      </w:tblGrid>
      <w:tr w:rsidR="006E5C07" w:rsidRPr="006E5C07" w14:paraId="3C750846" w14:textId="77777777" w:rsidTr="006E5C07">
        <w:tc>
          <w:tcPr>
            <w:tcW w:w="2220" w:type="dxa"/>
            <w:tcMar>
              <w:top w:w="0" w:type="dxa"/>
              <w:left w:w="108" w:type="dxa"/>
              <w:bottom w:w="0" w:type="dxa"/>
              <w:right w:w="108" w:type="dxa"/>
            </w:tcMar>
            <w:hideMark/>
          </w:tcPr>
          <w:p w14:paraId="01BDA727" w14:textId="77777777" w:rsidR="006E5C07" w:rsidRPr="006E5C07" w:rsidRDefault="006E5C07" w:rsidP="006E5C07">
            <w:pPr>
              <w:spacing w:after="0" w:line="240" w:lineRule="auto"/>
              <w:rPr>
                <w:rFonts w:ascii="Calibri" w:eastAsia="Times New Roman" w:hAnsi="Calibri" w:cs="Calibri"/>
              </w:rPr>
            </w:pPr>
          </w:p>
        </w:tc>
        <w:tc>
          <w:tcPr>
            <w:tcW w:w="901" w:type="dxa"/>
            <w:tcMar>
              <w:top w:w="0" w:type="dxa"/>
              <w:left w:w="108" w:type="dxa"/>
              <w:bottom w:w="0" w:type="dxa"/>
              <w:right w:w="108" w:type="dxa"/>
            </w:tcMar>
            <w:hideMark/>
          </w:tcPr>
          <w:p w14:paraId="63C23DD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Current</w:t>
            </w:r>
          </w:p>
        </w:tc>
        <w:tc>
          <w:tcPr>
            <w:tcW w:w="65" w:type="dxa"/>
            <w:tcMar>
              <w:top w:w="0" w:type="dxa"/>
              <w:left w:w="108" w:type="dxa"/>
              <w:bottom w:w="0" w:type="dxa"/>
              <w:right w:w="108" w:type="dxa"/>
            </w:tcMar>
            <w:hideMark/>
          </w:tcPr>
          <w:p w14:paraId="2DCB1D34" w14:textId="77777777" w:rsidR="006E5C07" w:rsidRPr="006E5C07" w:rsidRDefault="006E5C07" w:rsidP="006E5C07">
            <w:pPr>
              <w:spacing w:after="0" w:line="240" w:lineRule="auto"/>
              <w:jc w:val="right"/>
              <w:rPr>
                <w:rFonts w:ascii="Calibri" w:eastAsia="Times New Roman" w:hAnsi="Calibri" w:cs="Calibri"/>
              </w:rPr>
            </w:pPr>
          </w:p>
        </w:tc>
        <w:tc>
          <w:tcPr>
            <w:tcW w:w="890" w:type="dxa"/>
            <w:tcMar>
              <w:top w:w="0" w:type="dxa"/>
              <w:left w:w="108" w:type="dxa"/>
              <w:bottom w:w="0" w:type="dxa"/>
              <w:right w:w="108" w:type="dxa"/>
            </w:tcMar>
            <w:hideMark/>
          </w:tcPr>
          <w:p w14:paraId="642C11E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0 - 30 Days</w:t>
            </w:r>
          </w:p>
        </w:tc>
        <w:tc>
          <w:tcPr>
            <w:tcW w:w="64" w:type="dxa"/>
            <w:tcMar>
              <w:top w:w="0" w:type="dxa"/>
              <w:left w:w="108" w:type="dxa"/>
              <w:bottom w:w="0" w:type="dxa"/>
              <w:right w:w="108" w:type="dxa"/>
            </w:tcMar>
            <w:hideMark/>
          </w:tcPr>
          <w:p w14:paraId="09B8C097" w14:textId="77777777" w:rsidR="006E5C07" w:rsidRPr="006E5C07" w:rsidRDefault="006E5C07" w:rsidP="006E5C07">
            <w:pPr>
              <w:spacing w:after="0" w:line="240" w:lineRule="auto"/>
              <w:jc w:val="right"/>
              <w:rPr>
                <w:rFonts w:ascii="Calibri" w:eastAsia="Times New Roman" w:hAnsi="Calibri" w:cs="Calibri"/>
              </w:rPr>
            </w:pPr>
          </w:p>
        </w:tc>
        <w:tc>
          <w:tcPr>
            <w:tcW w:w="1005" w:type="dxa"/>
            <w:tcMar>
              <w:top w:w="0" w:type="dxa"/>
              <w:left w:w="108" w:type="dxa"/>
              <w:bottom w:w="0" w:type="dxa"/>
              <w:right w:w="108" w:type="dxa"/>
            </w:tcMar>
            <w:hideMark/>
          </w:tcPr>
          <w:p w14:paraId="0FC10E4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31 - 60 Days</w:t>
            </w:r>
          </w:p>
        </w:tc>
        <w:tc>
          <w:tcPr>
            <w:tcW w:w="19" w:type="dxa"/>
            <w:tcMar>
              <w:top w:w="0" w:type="dxa"/>
              <w:left w:w="108" w:type="dxa"/>
              <w:bottom w:w="0" w:type="dxa"/>
              <w:right w:w="108" w:type="dxa"/>
            </w:tcMar>
            <w:hideMark/>
          </w:tcPr>
          <w:p w14:paraId="7C4CFD06" w14:textId="77777777" w:rsidR="006E5C07" w:rsidRPr="006E5C07" w:rsidRDefault="006E5C07" w:rsidP="006E5C07">
            <w:pPr>
              <w:spacing w:after="0" w:line="240" w:lineRule="auto"/>
              <w:jc w:val="right"/>
              <w:rPr>
                <w:rFonts w:ascii="Calibri" w:eastAsia="Times New Roman" w:hAnsi="Calibri" w:cs="Calibri"/>
              </w:rPr>
            </w:pPr>
          </w:p>
        </w:tc>
        <w:tc>
          <w:tcPr>
            <w:tcW w:w="800" w:type="dxa"/>
            <w:tcMar>
              <w:top w:w="0" w:type="dxa"/>
              <w:left w:w="108" w:type="dxa"/>
              <w:bottom w:w="0" w:type="dxa"/>
              <w:right w:w="108" w:type="dxa"/>
            </w:tcMar>
            <w:hideMark/>
          </w:tcPr>
          <w:p w14:paraId="3093C37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61 Days +</w:t>
            </w:r>
          </w:p>
        </w:tc>
        <w:tc>
          <w:tcPr>
            <w:tcW w:w="52" w:type="dxa"/>
            <w:tcMar>
              <w:top w:w="0" w:type="dxa"/>
              <w:left w:w="108" w:type="dxa"/>
              <w:bottom w:w="0" w:type="dxa"/>
              <w:right w:w="108" w:type="dxa"/>
            </w:tcMar>
            <w:hideMark/>
          </w:tcPr>
          <w:p w14:paraId="2FBEA8D6" w14:textId="77777777" w:rsidR="006E5C07" w:rsidRPr="006E5C07" w:rsidRDefault="006E5C07" w:rsidP="006E5C07">
            <w:pPr>
              <w:spacing w:after="0" w:line="240" w:lineRule="auto"/>
              <w:jc w:val="right"/>
              <w:rPr>
                <w:rFonts w:ascii="Calibri" w:eastAsia="Times New Roman" w:hAnsi="Calibri" w:cs="Calibri"/>
              </w:rPr>
            </w:pPr>
          </w:p>
        </w:tc>
        <w:tc>
          <w:tcPr>
            <w:tcW w:w="850" w:type="dxa"/>
            <w:tcMar>
              <w:top w:w="0" w:type="dxa"/>
              <w:left w:w="108" w:type="dxa"/>
              <w:bottom w:w="0" w:type="dxa"/>
              <w:right w:w="108" w:type="dxa"/>
            </w:tcMar>
            <w:hideMark/>
          </w:tcPr>
          <w:p w14:paraId="405FF63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Total</w:t>
            </w:r>
          </w:p>
        </w:tc>
      </w:tr>
      <w:tr w:rsidR="006E5C07" w:rsidRPr="006E5C07" w14:paraId="5068246F" w14:textId="77777777" w:rsidTr="006E5C07">
        <w:tc>
          <w:tcPr>
            <w:tcW w:w="2220" w:type="dxa"/>
            <w:tcMar>
              <w:top w:w="0" w:type="dxa"/>
              <w:left w:w="108" w:type="dxa"/>
              <w:bottom w:w="0" w:type="dxa"/>
              <w:right w:w="108" w:type="dxa"/>
            </w:tcMar>
            <w:hideMark/>
          </w:tcPr>
          <w:p w14:paraId="70CB4808" w14:textId="77777777" w:rsidR="006E5C07" w:rsidRPr="006E5C07" w:rsidRDefault="006E5C07" w:rsidP="006E5C07">
            <w:pPr>
              <w:spacing w:after="0" w:line="240" w:lineRule="auto"/>
              <w:rPr>
                <w:rFonts w:ascii="Calibri" w:eastAsia="Times New Roman" w:hAnsi="Calibri" w:cs="Calibri"/>
              </w:rPr>
            </w:pPr>
          </w:p>
        </w:tc>
        <w:tc>
          <w:tcPr>
            <w:tcW w:w="901" w:type="dxa"/>
            <w:tcMar>
              <w:top w:w="0" w:type="dxa"/>
              <w:left w:w="108" w:type="dxa"/>
              <w:bottom w:w="0" w:type="dxa"/>
              <w:right w:w="108" w:type="dxa"/>
            </w:tcMar>
            <w:hideMark/>
          </w:tcPr>
          <w:p w14:paraId="41975C9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65" w:type="dxa"/>
            <w:tcMar>
              <w:top w:w="0" w:type="dxa"/>
              <w:left w:w="108" w:type="dxa"/>
              <w:bottom w:w="0" w:type="dxa"/>
              <w:right w:w="108" w:type="dxa"/>
            </w:tcMar>
            <w:hideMark/>
          </w:tcPr>
          <w:p w14:paraId="66C89055" w14:textId="77777777" w:rsidR="006E5C07" w:rsidRPr="006E5C07" w:rsidRDefault="006E5C07" w:rsidP="006E5C07">
            <w:pPr>
              <w:spacing w:after="0" w:line="240" w:lineRule="auto"/>
              <w:jc w:val="right"/>
              <w:rPr>
                <w:rFonts w:ascii="Calibri" w:eastAsia="Times New Roman" w:hAnsi="Calibri" w:cs="Calibri"/>
              </w:rPr>
            </w:pPr>
          </w:p>
        </w:tc>
        <w:tc>
          <w:tcPr>
            <w:tcW w:w="890" w:type="dxa"/>
            <w:tcMar>
              <w:top w:w="0" w:type="dxa"/>
              <w:left w:w="108" w:type="dxa"/>
              <w:bottom w:w="0" w:type="dxa"/>
              <w:right w:w="108" w:type="dxa"/>
            </w:tcMar>
            <w:hideMark/>
          </w:tcPr>
          <w:p w14:paraId="3755E78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64" w:type="dxa"/>
            <w:tcMar>
              <w:top w:w="0" w:type="dxa"/>
              <w:left w:w="108" w:type="dxa"/>
              <w:bottom w:w="0" w:type="dxa"/>
              <w:right w:w="108" w:type="dxa"/>
            </w:tcMar>
            <w:hideMark/>
          </w:tcPr>
          <w:p w14:paraId="75A09117" w14:textId="77777777" w:rsidR="006E5C07" w:rsidRPr="006E5C07" w:rsidRDefault="006E5C07" w:rsidP="006E5C07">
            <w:pPr>
              <w:spacing w:after="0" w:line="240" w:lineRule="auto"/>
              <w:jc w:val="right"/>
              <w:rPr>
                <w:rFonts w:ascii="Calibri" w:eastAsia="Times New Roman" w:hAnsi="Calibri" w:cs="Calibri"/>
              </w:rPr>
            </w:pPr>
          </w:p>
        </w:tc>
        <w:tc>
          <w:tcPr>
            <w:tcW w:w="1005" w:type="dxa"/>
            <w:tcMar>
              <w:top w:w="0" w:type="dxa"/>
              <w:left w:w="108" w:type="dxa"/>
              <w:bottom w:w="0" w:type="dxa"/>
              <w:right w:w="108" w:type="dxa"/>
            </w:tcMar>
            <w:hideMark/>
          </w:tcPr>
          <w:p w14:paraId="2BEB182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19" w:type="dxa"/>
            <w:tcMar>
              <w:top w:w="0" w:type="dxa"/>
              <w:left w:w="108" w:type="dxa"/>
              <w:bottom w:w="0" w:type="dxa"/>
              <w:right w:w="108" w:type="dxa"/>
            </w:tcMar>
            <w:hideMark/>
          </w:tcPr>
          <w:p w14:paraId="7509EF6C" w14:textId="77777777" w:rsidR="006E5C07" w:rsidRPr="006E5C07" w:rsidRDefault="006E5C07" w:rsidP="006E5C07">
            <w:pPr>
              <w:spacing w:after="0" w:line="240" w:lineRule="auto"/>
              <w:jc w:val="right"/>
              <w:rPr>
                <w:rFonts w:ascii="Calibri" w:eastAsia="Times New Roman" w:hAnsi="Calibri" w:cs="Calibri"/>
              </w:rPr>
            </w:pPr>
          </w:p>
        </w:tc>
        <w:tc>
          <w:tcPr>
            <w:tcW w:w="800" w:type="dxa"/>
            <w:tcMar>
              <w:top w:w="0" w:type="dxa"/>
              <w:left w:w="108" w:type="dxa"/>
              <w:bottom w:w="0" w:type="dxa"/>
              <w:right w:w="108" w:type="dxa"/>
            </w:tcMar>
            <w:hideMark/>
          </w:tcPr>
          <w:p w14:paraId="1932F3F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52" w:type="dxa"/>
            <w:tcMar>
              <w:top w:w="0" w:type="dxa"/>
              <w:left w:w="108" w:type="dxa"/>
              <w:bottom w:w="0" w:type="dxa"/>
              <w:right w:w="108" w:type="dxa"/>
            </w:tcMar>
            <w:hideMark/>
          </w:tcPr>
          <w:p w14:paraId="52C68D78" w14:textId="77777777" w:rsidR="006E5C07" w:rsidRPr="006E5C07" w:rsidRDefault="006E5C07" w:rsidP="006E5C07">
            <w:pPr>
              <w:spacing w:after="0" w:line="240" w:lineRule="auto"/>
              <w:jc w:val="right"/>
              <w:rPr>
                <w:rFonts w:ascii="Calibri" w:eastAsia="Times New Roman" w:hAnsi="Calibri" w:cs="Calibri"/>
              </w:rPr>
            </w:pPr>
          </w:p>
        </w:tc>
        <w:tc>
          <w:tcPr>
            <w:tcW w:w="850" w:type="dxa"/>
            <w:tcMar>
              <w:top w:w="0" w:type="dxa"/>
              <w:left w:w="108" w:type="dxa"/>
              <w:bottom w:w="0" w:type="dxa"/>
              <w:right w:w="108" w:type="dxa"/>
            </w:tcMar>
            <w:hideMark/>
          </w:tcPr>
          <w:p w14:paraId="262E11A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0E89D799" w14:textId="77777777" w:rsidTr="006E5C07">
        <w:tc>
          <w:tcPr>
            <w:tcW w:w="2220" w:type="dxa"/>
            <w:tcMar>
              <w:top w:w="0" w:type="dxa"/>
              <w:left w:w="108" w:type="dxa"/>
              <w:bottom w:w="0" w:type="dxa"/>
              <w:right w:w="108" w:type="dxa"/>
            </w:tcMar>
            <w:hideMark/>
          </w:tcPr>
          <w:p w14:paraId="464A9E53" w14:textId="77777777" w:rsidR="006E5C07" w:rsidRPr="006E5C07" w:rsidRDefault="006E5C07" w:rsidP="006E5C07">
            <w:pPr>
              <w:spacing w:after="0" w:line="240" w:lineRule="auto"/>
              <w:rPr>
                <w:rFonts w:ascii="Calibri" w:eastAsia="Times New Roman" w:hAnsi="Calibri" w:cs="Calibri"/>
              </w:rPr>
            </w:pPr>
          </w:p>
        </w:tc>
        <w:tc>
          <w:tcPr>
            <w:tcW w:w="901" w:type="dxa"/>
            <w:tcMar>
              <w:top w:w="0" w:type="dxa"/>
              <w:left w:w="108" w:type="dxa"/>
              <w:bottom w:w="0" w:type="dxa"/>
              <w:right w:w="108" w:type="dxa"/>
            </w:tcMar>
            <w:hideMark/>
          </w:tcPr>
          <w:p w14:paraId="37A8B47D" w14:textId="77777777" w:rsidR="006E5C07" w:rsidRPr="006E5C07" w:rsidRDefault="006E5C07" w:rsidP="006E5C07">
            <w:pPr>
              <w:spacing w:after="0" w:line="240" w:lineRule="auto"/>
              <w:jc w:val="right"/>
              <w:rPr>
                <w:rFonts w:ascii="Calibri" w:eastAsia="Times New Roman" w:hAnsi="Calibri" w:cs="Calibri"/>
              </w:rPr>
            </w:pPr>
          </w:p>
        </w:tc>
        <w:tc>
          <w:tcPr>
            <w:tcW w:w="65" w:type="dxa"/>
            <w:tcMar>
              <w:top w:w="0" w:type="dxa"/>
              <w:left w:w="108" w:type="dxa"/>
              <w:bottom w:w="0" w:type="dxa"/>
              <w:right w:w="108" w:type="dxa"/>
            </w:tcMar>
            <w:hideMark/>
          </w:tcPr>
          <w:p w14:paraId="5E20ED2F" w14:textId="77777777" w:rsidR="006E5C07" w:rsidRPr="006E5C07" w:rsidRDefault="006E5C07" w:rsidP="006E5C07">
            <w:pPr>
              <w:spacing w:after="0" w:line="240" w:lineRule="auto"/>
              <w:jc w:val="right"/>
              <w:rPr>
                <w:rFonts w:ascii="Calibri" w:eastAsia="Times New Roman" w:hAnsi="Calibri" w:cs="Calibri"/>
              </w:rPr>
            </w:pPr>
          </w:p>
        </w:tc>
        <w:tc>
          <w:tcPr>
            <w:tcW w:w="890" w:type="dxa"/>
            <w:tcMar>
              <w:top w:w="0" w:type="dxa"/>
              <w:left w:w="108" w:type="dxa"/>
              <w:bottom w:w="0" w:type="dxa"/>
              <w:right w:w="108" w:type="dxa"/>
            </w:tcMar>
            <w:hideMark/>
          </w:tcPr>
          <w:p w14:paraId="303812BF" w14:textId="77777777" w:rsidR="006E5C07" w:rsidRPr="006E5C07" w:rsidRDefault="006E5C07" w:rsidP="006E5C07">
            <w:pPr>
              <w:spacing w:after="0" w:line="240" w:lineRule="auto"/>
              <w:jc w:val="right"/>
              <w:rPr>
                <w:rFonts w:ascii="Calibri" w:eastAsia="Times New Roman" w:hAnsi="Calibri" w:cs="Calibri"/>
              </w:rPr>
            </w:pPr>
          </w:p>
        </w:tc>
        <w:tc>
          <w:tcPr>
            <w:tcW w:w="64" w:type="dxa"/>
            <w:tcMar>
              <w:top w:w="0" w:type="dxa"/>
              <w:left w:w="108" w:type="dxa"/>
              <w:bottom w:w="0" w:type="dxa"/>
              <w:right w:w="108" w:type="dxa"/>
            </w:tcMar>
            <w:hideMark/>
          </w:tcPr>
          <w:p w14:paraId="7233E7B9" w14:textId="77777777" w:rsidR="006E5C07" w:rsidRPr="006E5C07" w:rsidRDefault="006E5C07" w:rsidP="006E5C07">
            <w:pPr>
              <w:spacing w:after="0" w:line="240" w:lineRule="auto"/>
              <w:jc w:val="right"/>
              <w:rPr>
                <w:rFonts w:ascii="Calibri" w:eastAsia="Times New Roman" w:hAnsi="Calibri" w:cs="Calibri"/>
              </w:rPr>
            </w:pPr>
          </w:p>
        </w:tc>
        <w:tc>
          <w:tcPr>
            <w:tcW w:w="1005" w:type="dxa"/>
            <w:tcMar>
              <w:top w:w="0" w:type="dxa"/>
              <w:left w:w="108" w:type="dxa"/>
              <w:bottom w:w="0" w:type="dxa"/>
              <w:right w:w="108" w:type="dxa"/>
            </w:tcMar>
            <w:hideMark/>
          </w:tcPr>
          <w:p w14:paraId="4C4DA934" w14:textId="77777777" w:rsidR="006E5C07" w:rsidRPr="006E5C07" w:rsidRDefault="006E5C07" w:rsidP="006E5C07">
            <w:pPr>
              <w:spacing w:after="0" w:line="240" w:lineRule="auto"/>
              <w:jc w:val="right"/>
              <w:rPr>
                <w:rFonts w:ascii="Calibri" w:eastAsia="Times New Roman" w:hAnsi="Calibri" w:cs="Calibri"/>
              </w:rPr>
            </w:pPr>
          </w:p>
        </w:tc>
        <w:tc>
          <w:tcPr>
            <w:tcW w:w="19" w:type="dxa"/>
            <w:tcMar>
              <w:top w:w="0" w:type="dxa"/>
              <w:left w:w="108" w:type="dxa"/>
              <w:bottom w:w="0" w:type="dxa"/>
              <w:right w:w="108" w:type="dxa"/>
            </w:tcMar>
            <w:hideMark/>
          </w:tcPr>
          <w:p w14:paraId="5A61199D" w14:textId="77777777" w:rsidR="006E5C07" w:rsidRPr="006E5C07" w:rsidRDefault="006E5C07" w:rsidP="006E5C07">
            <w:pPr>
              <w:spacing w:after="0" w:line="240" w:lineRule="auto"/>
              <w:jc w:val="right"/>
              <w:rPr>
                <w:rFonts w:ascii="Calibri" w:eastAsia="Times New Roman" w:hAnsi="Calibri" w:cs="Calibri"/>
              </w:rPr>
            </w:pPr>
          </w:p>
        </w:tc>
        <w:tc>
          <w:tcPr>
            <w:tcW w:w="800" w:type="dxa"/>
            <w:tcMar>
              <w:top w:w="0" w:type="dxa"/>
              <w:left w:w="108" w:type="dxa"/>
              <w:bottom w:w="0" w:type="dxa"/>
              <w:right w:w="108" w:type="dxa"/>
            </w:tcMar>
            <w:hideMark/>
          </w:tcPr>
          <w:p w14:paraId="5A208130" w14:textId="77777777" w:rsidR="006E5C07" w:rsidRPr="006E5C07" w:rsidRDefault="006E5C07" w:rsidP="006E5C07">
            <w:pPr>
              <w:spacing w:after="0" w:line="240" w:lineRule="auto"/>
              <w:jc w:val="right"/>
              <w:rPr>
                <w:rFonts w:ascii="Calibri" w:eastAsia="Times New Roman" w:hAnsi="Calibri" w:cs="Calibri"/>
              </w:rPr>
            </w:pPr>
          </w:p>
        </w:tc>
        <w:tc>
          <w:tcPr>
            <w:tcW w:w="52" w:type="dxa"/>
            <w:tcMar>
              <w:top w:w="0" w:type="dxa"/>
              <w:left w:w="108" w:type="dxa"/>
              <w:bottom w:w="0" w:type="dxa"/>
              <w:right w:w="108" w:type="dxa"/>
            </w:tcMar>
            <w:hideMark/>
          </w:tcPr>
          <w:p w14:paraId="2C08F085" w14:textId="77777777" w:rsidR="006E5C07" w:rsidRPr="006E5C07" w:rsidRDefault="006E5C07" w:rsidP="006E5C07">
            <w:pPr>
              <w:spacing w:after="0" w:line="240" w:lineRule="auto"/>
              <w:jc w:val="right"/>
              <w:rPr>
                <w:rFonts w:ascii="Calibri" w:eastAsia="Times New Roman" w:hAnsi="Calibri" w:cs="Calibri"/>
              </w:rPr>
            </w:pPr>
          </w:p>
        </w:tc>
        <w:tc>
          <w:tcPr>
            <w:tcW w:w="850" w:type="dxa"/>
            <w:tcMar>
              <w:top w:w="0" w:type="dxa"/>
              <w:left w:w="108" w:type="dxa"/>
              <w:bottom w:w="0" w:type="dxa"/>
              <w:right w:w="108" w:type="dxa"/>
            </w:tcMar>
            <w:hideMark/>
          </w:tcPr>
          <w:p w14:paraId="6DFFEF3D"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15727C36" w14:textId="77777777" w:rsidTr="006E5C07">
        <w:tc>
          <w:tcPr>
            <w:tcW w:w="2220" w:type="dxa"/>
            <w:tcMar>
              <w:top w:w="0" w:type="dxa"/>
              <w:left w:w="108" w:type="dxa"/>
              <w:bottom w:w="0" w:type="dxa"/>
              <w:right w:w="108" w:type="dxa"/>
            </w:tcMar>
            <w:hideMark/>
          </w:tcPr>
          <w:p w14:paraId="5920B35D"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31 December '20</w:t>
            </w:r>
          </w:p>
        </w:tc>
        <w:tc>
          <w:tcPr>
            <w:tcW w:w="901" w:type="dxa"/>
            <w:tcMar>
              <w:top w:w="0" w:type="dxa"/>
              <w:left w:w="108" w:type="dxa"/>
              <w:bottom w:w="0" w:type="dxa"/>
              <w:right w:w="108" w:type="dxa"/>
            </w:tcMar>
            <w:hideMark/>
          </w:tcPr>
          <w:p w14:paraId="568DEC1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445</w:t>
            </w:r>
          </w:p>
        </w:tc>
        <w:tc>
          <w:tcPr>
            <w:tcW w:w="65" w:type="dxa"/>
            <w:tcMar>
              <w:top w:w="0" w:type="dxa"/>
              <w:left w:w="108" w:type="dxa"/>
              <w:bottom w:w="0" w:type="dxa"/>
              <w:right w:w="108" w:type="dxa"/>
            </w:tcMar>
            <w:hideMark/>
          </w:tcPr>
          <w:p w14:paraId="1DA84C56" w14:textId="77777777" w:rsidR="006E5C07" w:rsidRPr="006E5C07" w:rsidRDefault="006E5C07" w:rsidP="006E5C07">
            <w:pPr>
              <w:spacing w:after="0" w:line="240" w:lineRule="auto"/>
              <w:jc w:val="right"/>
              <w:rPr>
                <w:rFonts w:ascii="Calibri" w:eastAsia="Times New Roman" w:hAnsi="Calibri" w:cs="Calibri"/>
              </w:rPr>
            </w:pPr>
          </w:p>
        </w:tc>
        <w:tc>
          <w:tcPr>
            <w:tcW w:w="890" w:type="dxa"/>
            <w:tcMar>
              <w:top w:w="0" w:type="dxa"/>
              <w:left w:w="108" w:type="dxa"/>
              <w:bottom w:w="0" w:type="dxa"/>
              <w:right w:w="108" w:type="dxa"/>
            </w:tcMar>
            <w:hideMark/>
          </w:tcPr>
          <w:p w14:paraId="5C85485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313</w:t>
            </w:r>
          </w:p>
        </w:tc>
        <w:tc>
          <w:tcPr>
            <w:tcW w:w="64" w:type="dxa"/>
            <w:tcMar>
              <w:top w:w="0" w:type="dxa"/>
              <w:left w:w="108" w:type="dxa"/>
              <w:bottom w:w="0" w:type="dxa"/>
              <w:right w:w="108" w:type="dxa"/>
            </w:tcMar>
            <w:hideMark/>
          </w:tcPr>
          <w:p w14:paraId="00364925" w14:textId="77777777" w:rsidR="006E5C07" w:rsidRPr="006E5C07" w:rsidRDefault="006E5C07" w:rsidP="006E5C07">
            <w:pPr>
              <w:spacing w:after="0" w:line="240" w:lineRule="auto"/>
              <w:jc w:val="right"/>
              <w:rPr>
                <w:rFonts w:ascii="Calibri" w:eastAsia="Times New Roman" w:hAnsi="Calibri" w:cs="Calibri"/>
              </w:rPr>
            </w:pPr>
          </w:p>
        </w:tc>
        <w:tc>
          <w:tcPr>
            <w:tcW w:w="1005" w:type="dxa"/>
            <w:tcMar>
              <w:top w:w="0" w:type="dxa"/>
              <w:left w:w="108" w:type="dxa"/>
              <w:bottom w:w="0" w:type="dxa"/>
              <w:right w:w="108" w:type="dxa"/>
            </w:tcMar>
            <w:hideMark/>
          </w:tcPr>
          <w:p w14:paraId="3DA0C1B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292</w:t>
            </w:r>
          </w:p>
        </w:tc>
        <w:tc>
          <w:tcPr>
            <w:tcW w:w="19" w:type="dxa"/>
            <w:tcMar>
              <w:top w:w="0" w:type="dxa"/>
              <w:left w:w="108" w:type="dxa"/>
              <w:bottom w:w="0" w:type="dxa"/>
              <w:right w:w="108" w:type="dxa"/>
            </w:tcMar>
            <w:hideMark/>
          </w:tcPr>
          <w:p w14:paraId="5B3583CB" w14:textId="77777777" w:rsidR="006E5C07" w:rsidRPr="006E5C07" w:rsidRDefault="006E5C07" w:rsidP="006E5C07">
            <w:pPr>
              <w:spacing w:after="0" w:line="240" w:lineRule="auto"/>
              <w:jc w:val="right"/>
              <w:rPr>
                <w:rFonts w:ascii="Calibri" w:eastAsia="Times New Roman" w:hAnsi="Calibri" w:cs="Calibri"/>
              </w:rPr>
            </w:pPr>
          </w:p>
        </w:tc>
        <w:tc>
          <w:tcPr>
            <w:tcW w:w="800" w:type="dxa"/>
            <w:tcMar>
              <w:top w:w="0" w:type="dxa"/>
              <w:left w:w="108" w:type="dxa"/>
              <w:bottom w:w="0" w:type="dxa"/>
              <w:right w:w="108" w:type="dxa"/>
            </w:tcMar>
            <w:hideMark/>
          </w:tcPr>
          <w:p w14:paraId="2F0DEEF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495</w:t>
            </w:r>
          </w:p>
        </w:tc>
        <w:tc>
          <w:tcPr>
            <w:tcW w:w="52" w:type="dxa"/>
            <w:tcMar>
              <w:top w:w="0" w:type="dxa"/>
              <w:left w:w="108" w:type="dxa"/>
              <w:bottom w:w="0" w:type="dxa"/>
              <w:right w:w="108" w:type="dxa"/>
            </w:tcMar>
            <w:hideMark/>
          </w:tcPr>
          <w:p w14:paraId="4494787B" w14:textId="77777777" w:rsidR="006E5C07" w:rsidRPr="006E5C07" w:rsidRDefault="006E5C07" w:rsidP="006E5C07">
            <w:pPr>
              <w:spacing w:after="0" w:line="240" w:lineRule="auto"/>
              <w:jc w:val="right"/>
              <w:rPr>
                <w:rFonts w:ascii="Calibri" w:eastAsia="Times New Roman" w:hAnsi="Calibri" w:cs="Calibri"/>
              </w:rPr>
            </w:pPr>
          </w:p>
        </w:tc>
        <w:tc>
          <w:tcPr>
            <w:tcW w:w="850" w:type="dxa"/>
            <w:tcMar>
              <w:top w:w="0" w:type="dxa"/>
              <w:left w:w="108" w:type="dxa"/>
              <w:bottom w:w="0" w:type="dxa"/>
              <w:right w:w="108" w:type="dxa"/>
            </w:tcMar>
            <w:hideMark/>
          </w:tcPr>
          <w:p w14:paraId="0EDED3DD"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1,545</w:t>
            </w:r>
          </w:p>
        </w:tc>
      </w:tr>
      <w:tr w:rsidR="006E5C07" w:rsidRPr="006E5C07" w14:paraId="217B20F0" w14:textId="77777777" w:rsidTr="006E5C07">
        <w:tc>
          <w:tcPr>
            <w:tcW w:w="2220" w:type="dxa"/>
            <w:tcMar>
              <w:top w:w="0" w:type="dxa"/>
              <w:left w:w="108" w:type="dxa"/>
              <w:bottom w:w="0" w:type="dxa"/>
              <w:right w:w="108" w:type="dxa"/>
            </w:tcMar>
            <w:hideMark/>
          </w:tcPr>
          <w:p w14:paraId="6413DC90" w14:textId="77777777" w:rsidR="006E5C07" w:rsidRPr="006E5C07" w:rsidRDefault="006E5C07" w:rsidP="006E5C07">
            <w:pPr>
              <w:spacing w:after="0" w:line="240" w:lineRule="auto"/>
              <w:rPr>
                <w:rFonts w:ascii="Calibri" w:eastAsia="Times New Roman" w:hAnsi="Calibri" w:cs="Calibri"/>
              </w:rPr>
            </w:pPr>
          </w:p>
        </w:tc>
        <w:tc>
          <w:tcPr>
            <w:tcW w:w="901" w:type="dxa"/>
            <w:tcMar>
              <w:top w:w="0" w:type="dxa"/>
              <w:left w:w="108" w:type="dxa"/>
              <w:bottom w:w="0" w:type="dxa"/>
              <w:right w:w="108" w:type="dxa"/>
            </w:tcMar>
            <w:hideMark/>
          </w:tcPr>
          <w:p w14:paraId="69015BF3" w14:textId="77777777" w:rsidR="006E5C07" w:rsidRPr="006E5C07" w:rsidRDefault="006E5C07" w:rsidP="006E5C07">
            <w:pPr>
              <w:spacing w:after="0" w:line="240" w:lineRule="auto"/>
              <w:jc w:val="right"/>
              <w:rPr>
                <w:rFonts w:ascii="Calibri" w:eastAsia="Times New Roman" w:hAnsi="Calibri" w:cs="Calibri"/>
              </w:rPr>
            </w:pPr>
          </w:p>
        </w:tc>
        <w:tc>
          <w:tcPr>
            <w:tcW w:w="65" w:type="dxa"/>
            <w:tcMar>
              <w:top w:w="0" w:type="dxa"/>
              <w:left w:w="108" w:type="dxa"/>
              <w:bottom w:w="0" w:type="dxa"/>
              <w:right w:w="108" w:type="dxa"/>
            </w:tcMar>
            <w:hideMark/>
          </w:tcPr>
          <w:p w14:paraId="743158BC" w14:textId="77777777" w:rsidR="006E5C07" w:rsidRPr="006E5C07" w:rsidRDefault="006E5C07" w:rsidP="006E5C07">
            <w:pPr>
              <w:spacing w:after="0" w:line="240" w:lineRule="auto"/>
              <w:jc w:val="right"/>
              <w:rPr>
                <w:rFonts w:ascii="Calibri" w:eastAsia="Times New Roman" w:hAnsi="Calibri" w:cs="Calibri"/>
              </w:rPr>
            </w:pPr>
          </w:p>
        </w:tc>
        <w:tc>
          <w:tcPr>
            <w:tcW w:w="890" w:type="dxa"/>
            <w:tcMar>
              <w:top w:w="0" w:type="dxa"/>
              <w:left w:w="108" w:type="dxa"/>
              <w:bottom w:w="0" w:type="dxa"/>
              <w:right w:w="108" w:type="dxa"/>
            </w:tcMar>
            <w:hideMark/>
          </w:tcPr>
          <w:p w14:paraId="24260DDF" w14:textId="77777777" w:rsidR="006E5C07" w:rsidRPr="006E5C07" w:rsidRDefault="006E5C07" w:rsidP="006E5C07">
            <w:pPr>
              <w:spacing w:after="0" w:line="240" w:lineRule="auto"/>
              <w:jc w:val="right"/>
              <w:rPr>
                <w:rFonts w:ascii="Calibri" w:eastAsia="Times New Roman" w:hAnsi="Calibri" w:cs="Calibri"/>
              </w:rPr>
            </w:pPr>
          </w:p>
        </w:tc>
        <w:tc>
          <w:tcPr>
            <w:tcW w:w="64" w:type="dxa"/>
            <w:tcMar>
              <w:top w:w="0" w:type="dxa"/>
              <w:left w:w="108" w:type="dxa"/>
              <w:bottom w:w="0" w:type="dxa"/>
              <w:right w:w="108" w:type="dxa"/>
            </w:tcMar>
            <w:hideMark/>
          </w:tcPr>
          <w:p w14:paraId="62EEFB4D" w14:textId="77777777" w:rsidR="006E5C07" w:rsidRPr="006E5C07" w:rsidRDefault="006E5C07" w:rsidP="006E5C07">
            <w:pPr>
              <w:spacing w:after="0" w:line="240" w:lineRule="auto"/>
              <w:jc w:val="right"/>
              <w:rPr>
                <w:rFonts w:ascii="Calibri" w:eastAsia="Times New Roman" w:hAnsi="Calibri" w:cs="Calibri"/>
              </w:rPr>
            </w:pPr>
          </w:p>
        </w:tc>
        <w:tc>
          <w:tcPr>
            <w:tcW w:w="1005" w:type="dxa"/>
            <w:tcMar>
              <w:top w:w="0" w:type="dxa"/>
              <w:left w:w="108" w:type="dxa"/>
              <w:bottom w:w="0" w:type="dxa"/>
              <w:right w:w="108" w:type="dxa"/>
            </w:tcMar>
            <w:hideMark/>
          </w:tcPr>
          <w:p w14:paraId="052BAA45" w14:textId="77777777" w:rsidR="006E5C07" w:rsidRPr="006E5C07" w:rsidRDefault="006E5C07" w:rsidP="006E5C07">
            <w:pPr>
              <w:spacing w:after="0" w:line="240" w:lineRule="auto"/>
              <w:jc w:val="right"/>
              <w:rPr>
                <w:rFonts w:ascii="Calibri" w:eastAsia="Times New Roman" w:hAnsi="Calibri" w:cs="Calibri"/>
              </w:rPr>
            </w:pPr>
          </w:p>
        </w:tc>
        <w:tc>
          <w:tcPr>
            <w:tcW w:w="19" w:type="dxa"/>
            <w:tcMar>
              <w:top w:w="0" w:type="dxa"/>
              <w:left w:w="108" w:type="dxa"/>
              <w:bottom w:w="0" w:type="dxa"/>
              <w:right w:w="108" w:type="dxa"/>
            </w:tcMar>
            <w:hideMark/>
          </w:tcPr>
          <w:p w14:paraId="772FBEC1" w14:textId="77777777" w:rsidR="006E5C07" w:rsidRPr="006E5C07" w:rsidRDefault="006E5C07" w:rsidP="006E5C07">
            <w:pPr>
              <w:spacing w:after="0" w:line="240" w:lineRule="auto"/>
              <w:jc w:val="right"/>
              <w:rPr>
                <w:rFonts w:ascii="Calibri" w:eastAsia="Times New Roman" w:hAnsi="Calibri" w:cs="Calibri"/>
              </w:rPr>
            </w:pPr>
          </w:p>
        </w:tc>
        <w:tc>
          <w:tcPr>
            <w:tcW w:w="800" w:type="dxa"/>
            <w:tcMar>
              <w:top w:w="0" w:type="dxa"/>
              <w:left w:w="108" w:type="dxa"/>
              <w:bottom w:w="0" w:type="dxa"/>
              <w:right w:w="108" w:type="dxa"/>
            </w:tcMar>
            <w:hideMark/>
          </w:tcPr>
          <w:p w14:paraId="7DB5D9F6" w14:textId="77777777" w:rsidR="006E5C07" w:rsidRPr="006E5C07" w:rsidRDefault="006E5C07" w:rsidP="006E5C07">
            <w:pPr>
              <w:spacing w:after="0" w:line="240" w:lineRule="auto"/>
              <w:jc w:val="right"/>
              <w:rPr>
                <w:rFonts w:ascii="Calibri" w:eastAsia="Times New Roman" w:hAnsi="Calibri" w:cs="Calibri"/>
              </w:rPr>
            </w:pPr>
          </w:p>
        </w:tc>
        <w:tc>
          <w:tcPr>
            <w:tcW w:w="52" w:type="dxa"/>
            <w:tcMar>
              <w:top w:w="0" w:type="dxa"/>
              <w:left w:w="108" w:type="dxa"/>
              <w:bottom w:w="0" w:type="dxa"/>
              <w:right w:w="108" w:type="dxa"/>
            </w:tcMar>
            <w:hideMark/>
          </w:tcPr>
          <w:p w14:paraId="4477A947" w14:textId="77777777" w:rsidR="006E5C07" w:rsidRPr="006E5C07" w:rsidRDefault="006E5C07" w:rsidP="006E5C07">
            <w:pPr>
              <w:spacing w:after="0" w:line="240" w:lineRule="auto"/>
              <w:jc w:val="right"/>
              <w:rPr>
                <w:rFonts w:ascii="Calibri" w:eastAsia="Times New Roman" w:hAnsi="Calibri" w:cs="Calibri"/>
              </w:rPr>
            </w:pPr>
          </w:p>
        </w:tc>
        <w:tc>
          <w:tcPr>
            <w:tcW w:w="850" w:type="dxa"/>
            <w:tcMar>
              <w:top w:w="0" w:type="dxa"/>
              <w:left w:w="108" w:type="dxa"/>
              <w:bottom w:w="0" w:type="dxa"/>
              <w:right w:w="108" w:type="dxa"/>
            </w:tcMar>
            <w:hideMark/>
          </w:tcPr>
          <w:p w14:paraId="3DA5ECD3"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4D9DBBC1" w14:textId="77777777" w:rsidTr="006E5C07">
        <w:tc>
          <w:tcPr>
            <w:tcW w:w="2220" w:type="dxa"/>
            <w:tcMar>
              <w:top w:w="0" w:type="dxa"/>
              <w:left w:w="108" w:type="dxa"/>
              <w:bottom w:w="0" w:type="dxa"/>
              <w:right w:w="108" w:type="dxa"/>
            </w:tcMar>
            <w:hideMark/>
          </w:tcPr>
          <w:p w14:paraId="0BAB593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31 December '19</w:t>
            </w:r>
          </w:p>
        </w:tc>
        <w:tc>
          <w:tcPr>
            <w:tcW w:w="901" w:type="dxa"/>
            <w:tcMar>
              <w:top w:w="0" w:type="dxa"/>
              <w:left w:w="108" w:type="dxa"/>
              <w:bottom w:w="0" w:type="dxa"/>
              <w:right w:w="108" w:type="dxa"/>
            </w:tcMar>
            <w:hideMark/>
          </w:tcPr>
          <w:p w14:paraId="4789D45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1,640</w:t>
            </w:r>
          </w:p>
        </w:tc>
        <w:tc>
          <w:tcPr>
            <w:tcW w:w="65" w:type="dxa"/>
            <w:tcMar>
              <w:top w:w="0" w:type="dxa"/>
              <w:left w:w="108" w:type="dxa"/>
              <w:bottom w:w="0" w:type="dxa"/>
              <w:right w:w="108" w:type="dxa"/>
            </w:tcMar>
            <w:hideMark/>
          </w:tcPr>
          <w:p w14:paraId="0DA3ED24" w14:textId="77777777" w:rsidR="006E5C07" w:rsidRPr="006E5C07" w:rsidRDefault="006E5C07" w:rsidP="006E5C07">
            <w:pPr>
              <w:spacing w:after="0" w:line="240" w:lineRule="auto"/>
              <w:jc w:val="right"/>
              <w:rPr>
                <w:rFonts w:ascii="Calibri" w:eastAsia="Times New Roman" w:hAnsi="Calibri" w:cs="Calibri"/>
              </w:rPr>
            </w:pPr>
          </w:p>
        </w:tc>
        <w:tc>
          <w:tcPr>
            <w:tcW w:w="890" w:type="dxa"/>
            <w:tcMar>
              <w:top w:w="0" w:type="dxa"/>
              <w:left w:w="108" w:type="dxa"/>
              <w:bottom w:w="0" w:type="dxa"/>
              <w:right w:w="108" w:type="dxa"/>
            </w:tcMar>
            <w:hideMark/>
          </w:tcPr>
          <w:p w14:paraId="64CD484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487</w:t>
            </w:r>
          </w:p>
        </w:tc>
        <w:tc>
          <w:tcPr>
            <w:tcW w:w="64" w:type="dxa"/>
            <w:tcMar>
              <w:top w:w="0" w:type="dxa"/>
              <w:left w:w="108" w:type="dxa"/>
              <w:bottom w:w="0" w:type="dxa"/>
              <w:right w:w="108" w:type="dxa"/>
            </w:tcMar>
            <w:hideMark/>
          </w:tcPr>
          <w:p w14:paraId="3259DF13" w14:textId="77777777" w:rsidR="006E5C07" w:rsidRPr="006E5C07" w:rsidRDefault="006E5C07" w:rsidP="006E5C07">
            <w:pPr>
              <w:spacing w:after="0" w:line="240" w:lineRule="auto"/>
              <w:jc w:val="right"/>
              <w:rPr>
                <w:rFonts w:ascii="Calibri" w:eastAsia="Times New Roman" w:hAnsi="Calibri" w:cs="Calibri"/>
              </w:rPr>
            </w:pPr>
          </w:p>
        </w:tc>
        <w:tc>
          <w:tcPr>
            <w:tcW w:w="1005" w:type="dxa"/>
            <w:tcMar>
              <w:top w:w="0" w:type="dxa"/>
              <w:left w:w="108" w:type="dxa"/>
              <w:bottom w:w="0" w:type="dxa"/>
              <w:right w:w="108" w:type="dxa"/>
            </w:tcMar>
            <w:hideMark/>
          </w:tcPr>
          <w:p w14:paraId="3CCFA03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227</w:t>
            </w:r>
          </w:p>
        </w:tc>
        <w:tc>
          <w:tcPr>
            <w:tcW w:w="19" w:type="dxa"/>
            <w:tcMar>
              <w:top w:w="0" w:type="dxa"/>
              <w:left w:w="108" w:type="dxa"/>
              <w:bottom w:w="0" w:type="dxa"/>
              <w:right w:w="108" w:type="dxa"/>
            </w:tcMar>
            <w:hideMark/>
          </w:tcPr>
          <w:p w14:paraId="044310D1" w14:textId="77777777" w:rsidR="006E5C07" w:rsidRPr="006E5C07" w:rsidRDefault="006E5C07" w:rsidP="006E5C07">
            <w:pPr>
              <w:spacing w:after="0" w:line="240" w:lineRule="auto"/>
              <w:jc w:val="right"/>
              <w:rPr>
                <w:rFonts w:ascii="Calibri" w:eastAsia="Times New Roman" w:hAnsi="Calibri" w:cs="Calibri"/>
              </w:rPr>
            </w:pPr>
          </w:p>
        </w:tc>
        <w:tc>
          <w:tcPr>
            <w:tcW w:w="800" w:type="dxa"/>
            <w:tcMar>
              <w:top w:w="0" w:type="dxa"/>
              <w:left w:w="108" w:type="dxa"/>
              <w:bottom w:w="0" w:type="dxa"/>
              <w:right w:w="108" w:type="dxa"/>
            </w:tcMar>
            <w:hideMark/>
          </w:tcPr>
          <w:p w14:paraId="1BE8CE7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486</w:t>
            </w:r>
          </w:p>
        </w:tc>
        <w:tc>
          <w:tcPr>
            <w:tcW w:w="52" w:type="dxa"/>
            <w:tcMar>
              <w:top w:w="0" w:type="dxa"/>
              <w:left w:w="108" w:type="dxa"/>
              <w:bottom w:w="0" w:type="dxa"/>
              <w:right w:w="108" w:type="dxa"/>
            </w:tcMar>
            <w:hideMark/>
          </w:tcPr>
          <w:p w14:paraId="4D444E1E" w14:textId="77777777" w:rsidR="006E5C07" w:rsidRPr="006E5C07" w:rsidRDefault="006E5C07" w:rsidP="006E5C07">
            <w:pPr>
              <w:spacing w:after="0" w:line="240" w:lineRule="auto"/>
              <w:jc w:val="right"/>
              <w:rPr>
                <w:rFonts w:ascii="Calibri" w:eastAsia="Times New Roman" w:hAnsi="Calibri" w:cs="Calibri"/>
              </w:rPr>
            </w:pPr>
          </w:p>
        </w:tc>
        <w:tc>
          <w:tcPr>
            <w:tcW w:w="850" w:type="dxa"/>
            <w:tcMar>
              <w:top w:w="0" w:type="dxa"/>
              <w:left w:w="108" w:type="dxa"/>
              <w:bottom w:w="0" w:type="dxa"/>
              <w:right w:w="108" w:type="dxa"/>
            </w:tcMar>
            <w:hideMark/>
          </w:tcPr>
          <w:p w14:paraId="5075ADEA"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2,840</w:t>
            </w:r>
          </w:p>
        </w:tc>
      </w:tr>
    </w:tbl>
    <w:p w14:paraId="3738BB79"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167CDB10"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4EECC0F0" w14:textId="77777777" w:rsidR="006E5C07" w:rsidRPr="006E5C07" w:rsidRDefault="006E5C07" w:rsidP="006E5C07">
      <w:pPr>
        <w:spacing w:line="253" w:lineRule="atLeast"/>
        <w:ind w:hanging="567"/>
        <w:rPr>
          <w:rFonts w:ascii="Calibri" w:eastAsia="Times New Roman" w:hAnsi="Calibri" w:cs="Calibri"/>
          <w:b/>
          <w:bCs/>
          <w:color w:val="16202C"/>
        </w:rPr>
      </w:pPr>
      <w:r w:rsidRPr="006E5C07">
        <w:rPr>
          <w:rFonts w:ascii="Gill Sans MT" w:eastAsia="Times New Roman" w:hAnsi="Gill Sans MT" w:cs="Calibri"/>
          <w:b/>
          <w:bCs/>
          <w:color w:val="16202C"/>
          <w:sz w:val="18"/>
          <w:szCs w:val="18"/>
        </w:rPr>
        <w:t>18.       Deferred tax</w:t>
      </w:r>
    </w:p>
    <w:tbl>
      <w:tblPr>
        <w:tblW w:w="0" w:type="auto"/>
        <w:tblInd w:w="-108" w:type="dxa"/>
        <w:tblCellMar>
          <w:left w:w="0" w:type="dxa"/>
          <w:right w:w="0" w:type="dxa"/>
        </w:tblCellMar>
        <w:tblLook w:val="04A0" w:firstRow="1" w:lastRow="0" w:firstColumn="1" w:lastColumn="0" w:noHBand="0" w:noVBand="1"/>
      </w:tblPr>
      <w:tblGrid>
        <w:gridCol w:w="3753"/>
        <w:gridCol w:w="506"/>
        <w:gridCol w:w="1466"/>
        <w:gridCol w:w="755"/>
        <w:gridCol w:w="1466"/>
      </w:tblGrid>
      <w:tr w:rsidR="006E5C07" w:rsidRPr="006E5C07" w14:paraId="44612AB2" w14:textId="77777777" w:rsidTr="006E5C07">
        <w:tc>
          <w:tcPr>
            <w:tcW w:w="3753" w:type="dxa"/>
            <w:tcMar>
              <w:top w:w="0" w:type="dxa"/>
              <w:left w:w="108" w:type="dxa"/>
              <w:bottom w:w="0" w:type="dxa"/>
              <w:right w:w="108" w:type="dxa"/>
            </w:tcMar>
            <w:hideMark/>
          </w:tcPr>
          <w:p w14:paraId="6BB2A601" w14:textId="77777777" w:rsidR="006E5C07" w:rsidRPr="006E5C07" w:rsidRDefault="006E5C07" w:rsidP="006E5C07">
            <w:pPr>
              <w:spacing w:after="0" w:line="240" w:lineRule="auto"/>
              <w:rPr>
                <w:rFonts w:ascii="Calibri" w:eastAsia="Times New Roman" w:hAnsi="Calibri" w:cs="Calibri"/>
                <w:b/>
                <w:bCs/>
              </w:rPr>
            </w:pPr>
          </w:p>
        </w:tc>
        <w:tc>
          <w:tcPr>
            <w:tcW w:w="506" w:type="dxa"/>
            <w:tcMar>
              <w:top w:w="0" w:type="dxa"/>
              <w:left w:w="108" w:type="dxa"/>
              <w:bottom w:w="0" w:type="dxa"/>
              <w:right w:w="108" w:type="dxa"/>
            </w:tcMar>
            <w:hideMark/>
          </w:tcPr>
          <w:p w14:paraId="3F976701" w14:textId="77777777" w:rsidR="006E5C07" w:rsidRPr="006E5C07" w:rsidRDefault="006E5C07" w:rsidP="006E5C07">
            <w:pPr>
              <w:spacing w:after="0" w:line="240" w:lineRule="auto"/>
              <w:jc w:val="center"/>
              <w:rPr>
                <w:rFonts w:ascii="Calibri" w:eastAsia="Times New Roman" w:hAnsi="Calibri" w:cs="Calibri"/>
              </w:rPr>
            </w:pPr>
          </w:p>
        </w:tc>
        <w:tc>
          <w:tcPr>
            <w:tcW w:w="1466" w:type="dxa"/>
            <w:tcMar>
              <w:top w:w="0" w:type="dxa"/>
              <w:left w:w="108" w:type="dxa"/>
              <w:bottom w:w="0" w:type="dxa"/>
              <w:right w:w="108" w:type="dxa"/>
            </w:tcMar>
            <w:hideMark/>
          </w:tcPr>
          <w:p w14:paraId="2E5767E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'20</w:t>
            </w:r>
          </w:p>
        </w:tc>
        <w:tc>
          <w:tcPr>
            <w:tcW w:w="755" w:type="dxa"/>
            <w:tcMar>
              <w:top w:w="0" w:type="dxa"/>
              <w:left w:w="108" w:type="dxa"/>
              <w:bottom w:w="0" w:type="dxa"/>
              <w:right w:w="108" w:type="dxa"/>
            </w:tcMar>
            <w:hideMark/>
          </w:tcPr>
          <w:p w14:paraId="6A3A0140" w14:textId="77777777" w:rsidR="006E5C07" w:rsidRPr="006E5C07" w:rsidRDefault="006E5C07" w:rsidP="006E5C07">
            <w:pPr>
              <w:spacing w:after="0" w:line="240" w:lineRule="auto"/>
              <w:jc w:val="right"/>
              <w:rPr>
                <w:rFonts w:ascii="Calibri" w:eastAsia="Times New Roman" w:hAnsi="Calibri" w:cs="Calibri"/>
              </w:rPr>
            </w:pPr>
          </w:p>
        </w:tc>
        <w:tc>
          <w:tcPr>
            <w:tcW w:w="1466" w:type="dxa"/>
            <w:tcMar>
              <w:top w:w="0" w:type="dxa"/>
              <w:left w:w="108" w:type="dxa"/>
              <w:bottom w:w="0" w:type="dxa"/>
              <w:right w:w="108" w:type="dxa"/>
            </w:tcMar>
            <w:hideMark/>
          </w:tcPr>
          <w:p w14:paraId="4E4EE98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'19</w:t>
            </w:r>
          </w:p>
        </w:tc>
      </w:tr>
      <w:tr w:rsidR="006E5C07" w:rsidRPr="006E5C07" w14:paraId="22E96827" w14:textId="77777777" w:rsidTr="006E5C07">
        <w:tc>
          <w:tcPr>
            <w:tcW w:w="3753" w:type="dxa"/>
            <w:tcMar>
              <w:top w:w="0" w:type="dxa"/>
              <w:left w:w="108" w:type="dxa"/>
              <w:bottom w:w="0" w:type="dxa"/>
              <w:right w:w="108" w:type="dxa"/>
            </w:tcMar>
            <w:hideMark/>
          </w:tcPr>
          <w:p w14:paraId="5EAFBBEA" w14:textId="77777777" w:rsidR="006E5C07" w:rsidRPr="006E5C07" w:rsidRDefault="006E5C07" w:rsidP="006E5C07">
            <w:pPr>
              <w:spacing w:after="0" w:line="240" w:lineRule="auto"/>
              <w:rPr>
                <w:rFonts w:ascii="Calibri" w:eastAsia="Times New Roman" w:hAnsi="Calibri" w:cs="Calibri"/>
                <w:b/>
                <w:bCs/>
              </w:rPr>
            </w:pPr>
          </w:p>
        </w:tc>
        <w:tc>
          <w:tcPr>
            <w:tcW w:w="506" w:type="dxa"/>
            <w:tcMar>
              <w:top w:w="0" w:type="dxa"/>
              <w:left w:w="108" w:type="dxa"/>
              <w:bottom w:w="0" w:type="dxa"/>
              <w:right w:w="108" w:type="dxa"/>
            </w:tcMar>
            <w:hideMark/>
          </w:tcPr>
          <w:p w14:paraId="16C8E444" w14:textId="77777777" w:rsidR="006E5C07" w:rsidRPr="006E5C07" w:rsidRDefault="006E5C07" w:rsidP="006E5C07">
            <w:pPr>
              <w:spacing w:after="0" w:line="240" w:lineRule="auto"/>
              <w:jc w:val="center"/>
              <w:rPr>
                <w:rFonts w:ascii="Calibri" w:eastAsia="Times New Roman" w:hAnsi="Calibri" w:cs="Calibri"/>
              </w:rPr>
            </w:pPr>
          </w:p>
        </w:tc>
        <w:tc>
          <w:tcPr>
            <w:tcW w:w="1466" w:type="dxa"/>
            <w:tcMar>
              <w:top w:w="0" w:type="dxa"/>
              <w:left w:w="108" w:type="dxa"/>
              <w:bottom w:w="0" w:type="dxa"/>
              <w:right w:w="108" w:type="dxa"/>
            </w:tcMar>
            <w:hideMark/>
          </w:tcPr>
          <w:p w14:paraId="33E9B98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755" w:type="dxa"/>
            <w:tcMar>
              <w:top w:w="0" w:type="dxa"/>
              <w:left w:w="108" w:type="dxa"/>
              <w:bottom w:w="0" w:type="dxa"/>
              <w:right w:w="108" w:type="dxa"/>
            </w:tcMar>
            <w:hideMark/>
          </w:tcPr>
          <w:p w14:paraId="287F4C0F" w14:textId="77777777" w:rsidR="006E5C07" w:rsidRPr="006E5C07" w:rsidRDefault="006E5C07" w:rsidP="006E5C07">
            <w:pPr>
              <w:spacing w:after="0" w:line="240" w:lineRule="auto"/>
              <w:jc w:val="right"/>
              <w:rPr>
                <w:rFonts w:ascii="Calibri" w:eastAsia="Times New Roman" w:hAnsi="Calibri" w:cs="Calibri"/>
              </w:rPr>
            </w:pPr>
          </w:p>
        </w:tc>
        <w:tc>
          <w:tcPr>
            <w:tcW w:w="1466" w:type="dxa"/>
            <w:tcMar>
              <w:top w:w="0" w:type="dxa"/>
              <w:left w:w="108" w:type="dxa"/>
              <w:bottom w:w="0" w:type="dxa"/>
              <w:right w:w="108" w:type="dxa"/>
            </w:tcMar>
            <w:hideMark/>
          </w:tcPr>
          <w:p w14:paraId="3695910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1C86F3C6" w14:textId="77777777" w:rsidTr="006E5C07">
        <w:tc>
          <w:tcPr>
            <w:tcW w:w="3753" w:type="dxa"/>
            <w:tcMar>
              <w:top w:w="0" w:type="dxa"/>
              <w:left w:w="108" w:type="dxa"/>
              <w:bottom w:w="0" w:type="dxa"/>
              <w:right w:w="108" w:type="dxa"/>
            </w:tcMar>
            <w:hideMark/>
          </w:tcPr>
          <w:p w14:paraId="6F4D52E4" w14:textId="77777777" w:rsidR="006E5C07" w:rsidRPr="006E5C07" w:rsidRDefault="006E5C07" w:rsidP="006E5C07">
            <w:pPr>
              <w:spacing w:after="0" w:line="240" w:lineRule="auto"/>
              <w:rPr>
                <w:rFonts w:ascii="Calibri" w:eastAsia="Times New Roman" w:hAnsi="Calibri" w:cs="Calibri"/>
                <w:b/>
                <w:bCs/>
              </w:rPr>
            </w:pPr>
          </w:p>
        </w:tc>
        <w:tc>
          <w:tcPr>
            <w:tcW w:w="506" w:type="dxa"/>
            <w:tcMar>
              <w:top w:w="0" w:type="dxa"/>
              <w:left w:w="108" w:type="dxa"/>
              <w:bottom w:w="0" w:type="dxa"/>
              <w:right w:w="108" w:type="dxa"/>
            </w:tcMar>
            <w:hideMark/>
          </w:tcPr>
          <w:p w14:paraId="0471F3E9" w14:textId="77777777" w:rsidR="006E5C07" w:rsidRPr="006E5C07" w:rsidRDefault="006E5C07" w:rsidP="006E5C07">
            <w:pPr>
              <w:spacing w:after="0" w:line="240" w:lineRule="auto"/>
              <w:jc w:val="center"/>
              <w:rPr>
                <w:rFonts w:ascii="Calibri" w:eastAsia="Times New Roman" w:hAnsi="Calibri" w:cs="Calibri"/>
              </w:rPr>
            </w:pPr>
          </w:p>
        </w:tc>
        <w:tc>
          <w:tcPr>
            <w:tcW w:w="1466" w:type="dxa"/>
            <w:tcMar>
              <w:top w:w="0" w:type="dxa"/>
              <w:left w:w="108" w:type="dxa"/>
              <w:bottom w:w="0" w:type="dxa"/>
              <w:right w:w="108" w:type="dxa"/>
            </w:tcMar>
            <w:hideMark/>
          </w:tcPr>
          <w:p w14:paraId="22A6E785" w14:textId="77777777" w:rsidR="006E5C07" w:rsidRPr="006E5C07" w:rsidRDefault="006E5C07" w:rsidP="006E5C07">
            <w:pPr>
              <w:spacing w:after="0" w:line="240" w:lineRule="auto"/>
              <w:rPr>
                <w:rFonts w:ascii="Calibri" w:eastAsia="Times New Roman" w:hAnsi="Calibri" w:cs="Calibri"/>
              </w:rPr>
            </w:pPr>
          </w:p>
        </w:tc>
        <w:tc>
          <w:tcPr>
            <w:tcW w:w="755" w:type="dxa"/>
            <w:tcMar>
              <w:top w:w="0" w:type="dxa"/>
              <w:left w:w="108" w:type="dxa"/>
              <w:bottom w:w="0" w:type="dxa"/>
              <w:right w:w="108" w:type="dxa"/>
            </w:tcMar>
            <w:hideMark/>
          </w:tcPr>
          <w:p w14:paraId="780CA3CB" w14:textId="77777777" w:rsidR="006E5C07" w:rsidRPr="006E5C07" w:rsidRDefault="006E5C07" w:rsidP="006E5C07">
            <w:pPr>
              <w:spacing w:after="0" w:line="240" w:lineRule="auto"/>
              <w:jc w:val="center"/>
              <w:rPr>
                <w:rFonts w:ascii="Calibri" w:eastAsia="Times New Roman" w:hAnsi="Calibri" w:cs="Calibri"/>
              </w:rPr>
            </w:pPr>
          </w:p>
        </w:tc>
        <w:tc>
          <w:tcPr>
            <w:tcW w:w="1466" w:type="dxa"/>
            <w:tcMar>
              <w:top w:w="0" w:type="dxa"/>
              <w:left w:w="108" w:type="dxa"/>
              <w:bottom w:w="0" w:type="dxa"/>
              <w:right w:w="108" w:type="dxa"/>
            </w:tcMar>
            <w:hideMark/>
          </w:tcPr>
          <w:p w14:paraId="17F491B8" w14:textId="77777777" w:rsidR="006E5C07" w:rsidRPr="006E5C07" w:rsidRDefault="006E5C07" w:rsidP="006E5C07">
            <w:pPr>
              <w:spacing w:after="0" w:line="240" w:lineRule="auto"/>
              <w:rPr>
                <w:rFonts w:ascii="Calibri" w:eastAsia="Times New Roman" w:hAnsi="Calibri" w:cs="Calibri"/>
              </w:rPr>
            </w:pPr>
          </w:p>
        </w:tc>
      </w:tr>
      <w:tr w:rsidR="006E5C07" w:rsidRPr="006E5C07" w14:paraId="6DCDA98F" w14:textId="77777777" w:rsidTr="006E5C07">
        <w:tc>
          <w:tcPr>
            <w:tcW w:w="3753" w:type="dxa"/>
            <w:tcMar>
              <w:top w:w="0" w:type="dxa"/>
              <w:left w:w="108" w:type="dxa"/>
              <w:bottom w:w="0" w:type="dxa"/>
              <w:right w:w="108" w:type="dxa"/>
            </w:tcMar>
            <w:hideMark/>
          </w:tcPr>
          <w:p w14:paraId="0042A1B0"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Deferred tax liability:</w:t>
            </w:r>
          </w:p>
          <w:p w14:paraId="17419D9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Deferred tax liability to be recognised after more than 12 months</w:t>
            </w:r>
          </w:p>
          <w:p w14:paraId="4B47ED6B"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p w14:paraId="216C0D3A"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Deferred tax assets:</w:t>
            </w:r>
          </w:p>
          <w:p w14:paraId="4944309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Deferred tax asset to be recognised after less than 12 months</w:t>
            </w:r>
          </w:p>
          <w:p w14:paraId="580874AE"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Deferred tax asset to be recognised after more than 12 months</w:t>
            </w:r>
          </w:p>
          <w:p w14:paraId="57712C06"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tc>
        <w:tc>
          <w:tcPr>
            <w:tcW w:w="506" w:type="dxa"/>
            <w:tcMar>
              <w:top w:w="0" w:type="dxa"/>
              <w:left w:w="108" w:type="dxa"/>
              <w:bottom w:w="0" w:type="dxa"/>
              <w:right w:w="108" w:type="dxa"/>
            </w:tcMar>
            <w:hideMark/>
          </w:tcPr>
          <w:p w14:paraId="2BB2C2D7" w14:textId="77777777" w:rsidR="006E5C07" w:rsidRPr="006E5C07" w:rsidRDefault="006E5C07" w:rsidP="006E5C07">
            <w:pPr>
              <w:spacing w:after="0" w:line="240" w:lineRule="auto"/>
              <w:jc w:val="right"/>
              <w:rPr>
                <w:rFonts w:ascii="Calibri" w:eastAsia="Times New Roman" w:hAnsi="Calibri" w:cs="Calibri"/>
              </w:rPr>
            </w:pPr>
          </w:p>
        </w:tc>
        <w:tc>
          <w:tcPr>
            <w:tcW w:w="1466" w:type="dxa"/>
            <w:tcMar>
              <w:top w:w="0" w:type="dxa"/>
              <w:left w:w="108" w:type="dxa"/>
              <w:bottom w:w="0" w:type="dxa"/>
              <w:right w:w="108" w:type="dxa"/>
            </w:tcMar>
            <w:hideMark/>
          </w:tcPr>
          <w:p w14:paraId="03E971B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2DBC81D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33CE522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p w14:paraId="0D32605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60A77A1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1404C2C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15B19CD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47</w:t>
            </w:r>
          </w:p>
          <w:p w14:paraId="59D9EB2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181FCA6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160</w:t>
            </w:r>
          </w:p>
        </w:tc>
        <w:tc>
          <w:tcPr>
            <w:tcW w:w="755" w:type="dxa"/>
            <w:tcMar>
              <w:top w:w="0" w:type="dxa"/>
              <w:left w:w="108" w:type="dxa"/>
              <w:bottom w:w="0" w:type="dxa"/>
              <w:right w:w="108" w:type="dxa"/>
            </w:tcMar>
            <w:hideMark/>
          </w:tcPr>
          <w:p w14:paraId="16A3CB73" w14:textId="77777777" w:rsidR="006E5C07" w:rsidRPr="006E5C07" w:rsidRDefault="006E5C07" w:rsidP="006E5C07">
            <w:pPr>
              <w:spacing w:after="0" w:line="240" w:lineRule="auto"/>
              <w:jc w:val="right"/>
              <w:rPr>
                <w:rFonts w:ascii="Calibri" w:eastAsia="Times New Roman" w:hAnsi="Calibri" w:cs="Calibri"/>
              </w:rPr>
            </w:pPr>
          </w:p>
        </w:tc>
        <w:tc>
          <w:tcPr>
            <w:tcW w:w="1466" w:type="dxa"/>
            <w:tcMar>
              <w:top w:w="0" w:type="dxa"/>
              <w:left w:w="108" w:type="dxa"/>
              <w:bottom w:w="0" w:type="dxa"/>
              <w:right w:w="108" w:type="dxa"/>
            </w:tcMar>
            <w:hideMark/>
          </w:tcPr>
          <w:p w14:paraId="24C0B6F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1037364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312A563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(44)</w:t>
            </w:r>
          </w:p>
          <w:p w14:paraId="403AC26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29404F9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2339545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6964EE8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47</w:t>
            </w:r>
          </w:p>
          <w:p w14:paraId="601EE2D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1BF053D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r>
      <w:tr w:rsidR="006E5C07" w:rsidRPr="006E5C07" w14:paraId="36541758" w14:textId="77777777" w:rsidTr="006E5C07">
        <w:tc>
          <w:tcPr>
            <w:tcW w:w="3753" w:type="dxa"/>
            <w:tcMar>
              <w:top w:w="0" w:type="dxa"/>
              <w:left w:w="108" w:type="dxa"/>
              <w:bottom w:w="0" w:type="dxa"/>
              <w:right w:w="108" w:type="dxa"/>
            </w:tcMar>
            <w:hideMark/>
          </w:tcPr>
          <w:p w14:paraId="05EECB37"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Deferred tax asset</w:t>
            </w:r>
          </w:p>
        </w:tc>
        <w:tc>
          <w:tcPr>
            <w:tcW w:w="506" w:type="dxa"/>
            <w:tcMar>
              <w:top w:w="0" w:type="dxa"/>
              <w:left w:w="108" w:type="dxa"/>
              <w:bottom w:w="0" w:type="dxa"/>
              <w:right w:w="108" w:type="dxa"/>
            </w:tcMar>
            <w:hideMark/>
          </w:tcPr>
          <w:p w14:paraId="34F69EA0" w14:textId="77777777" w:rsidR="006E5C07" w:rsidRPr="006E5C07" w:rsidRDefault="006E5C07" w:rsidP="006E5C07">
            <w:pPr>
              <w:spacing w:after="0" w:line="240" w:lineRule="auto"/>
              <w:jc w:val="right"/>
              <w:rPr>
                <w:rFonts w:ascii="Calibri" w:eastAsia="Times New Roman" w:hAnsi="Calibri" w:cs="Calibri"/>
                <w:b/>
                <w:bCs/>
              </w:rPr>
            </w:pPr>
          </w:p>
        </w:tc>
        <w:tc>
          <w:tcPr>
            <w:tcW w:w="1466" w:type="dxa"/>
            <w:tcBorders>
              <w:top w:val="single" w:sz="8" w:space="0" w:color="auto"/>
              <w:left w:val="nil"/>
              <w:bottom w:val="double" w:sz="6" w:space="0" w:color="auto"/>
              <w:right w:val="nil"/>
            </w:tcBorders>
            <w:tcMar>
              <w:top w:w="0" w:type="dxa"/>
              <w:left w:w="108" w:type="dxa"/>
              <w:bottom w:w="0" w:type="dxa"/>
              <w:right w:w="108" w:type="dxa"/>
            </w:tcMar>
            <w:hideMark/>
          </w:tcPr>
          <w:p w14:paraId="743028F4"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207</w:t>
            </w:r>
          </w:p>
        </w:tc>
        <w:tc>
          <w:tcPr>
            <w:tcW w:w="755" w:type="dxa"/>
            <w:tcMar>
              <w:top w:w="0" w:type="dxa"/>
              <w:left w:w="108" w:type="dxa"/>
              <w:bottom w:w="0" w:type="dxa"/>
              <w:right w:w="108" w:type="dxa"/>
            </w:tcMar>
            <w:hideMark/>
          </w:tcPr>
          <w:p w14:paraId="76A007C2" w14:textId="77777777" w:rsidR="006E5C07" w:rsidRPr="006E5C07" w:rsidRDefault="006E5C07" w:rsidP="006E5C07">
            <w:pPr>
              <w:spacing w:after="0" w:line="240" w:lineRule="auto"/>
              <w:jc w:val="right"/>
              <w:rPr>
                <w:rFonts w:ascii="Calibri" w:eastAsia="Times New Roman" w:hAnsi="Calibri" w:cs="Calibri"/>
                <w:b/>
                <w:bCs/>
              </w:rPr>
            </w:pPr>
          </w:p>
        </w:tc>
        <w:tc>
          <w:tcPr>
            <w:tcW w:w="1466" w:type="dxa"/>
            <w:tcBorders>
              <w:top w:val="single" w:sz="8" w:space="0" w:color="auto"/>
              <w:left w:val="nil"/>
              <w:bottom w:val="double" w:sz="6" w:space="0" w:color="auto"/>
              <w:right w:val="nil"/>
            </w:tcBorders>
            <w:tcMar>
              <w:top w:w="0" w:type="dxa"/>
              <w:left w:w="108" w:type="dxa"/>
              <w:bottom w:w="0" w:type="dxa"/>
              <w:right w:w="108" w:type="dxa"/>
            </w:tcMar>
            <w:hideMark/>
          </w:tcPr>
          <w:p w14:paraId="745685B3"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w:t>
            </w:r>
          </w:p>
        </w:tc>
      </w:tr>
      <w:tr w:rsidR="006E5C07" w:rsidRPr="006E5C07" w14:paraId="4496AA59" w14:textId="77777777" w:rsidTr="006E5C07">
        <w:tc>
          <w:tcPr>
            <w:tcW w:w="3753" w:type="dxa"/>
            <w:tcMar>
              <w:top w:w="0" w:type="dxa"/>
              <w:left w:w="108" w:type="dxa"/>
              <w:bottom w:w="0" w:type="dxa"/>
              <w:right w:w="108" w:type="dxa"/>
            </w:tcMar>
            <w:hideMark/>
          </w:tcPr>
          <w:p w14:paraId="5310536C" w14:textId="77777777" w:rsidR="006E5C07" w:rsidRPr="006E5C07" w:rsidRDefault="006E5C07" w:rsidP="006E5C07">
            <w:pPr>
              <w:spacing w:after="0" w:line="240" w:lineRule="auto"/>
              <w:rPr>
                <w:rFonts w:ascii="Calibri" w:eastAsia="Times New Roman" w:hAnsi="Calibri" w:cs="Calibri"/>
                <w:b/>
                <w:bCs/>
              </w:rPr>
            </w:pPr>
          </w:p>
        </w:tc>
        <w:tc>
          <w:tcPr>
            <w:tcW w:w="506" w:type="dxa"/>
            <w:tcMar>
              <w:top w:w="0" w:type="dxa"/>
              <w:left w:w="108" w:type="dxa"/>
              <w:bottom w:w="0" w:type="dxa"/>
              <w:right w:w="108" w:type="dxa"/>
            </w:tcMar>
            <w:hideMark/>
          </w:tcPr>
          <w:p w14:paraId="345D48E0" w14:textId="77777777" w:rsidR="006E5C07" w:rsidRPr="006E5C07" w:rsidRDefault="006E5C07" w:rsidP="006E5C07">
            <w:pPr>
              <w:spacing w:after="0" w:line="240" w:lineRule="auto"/>
              <w:jc w:val="center"/>
              <w:rPr>
                <w:rFonts w:ascii="Calibri" w:eastAsia="Times New Roman" w:hAnsi="Calibri" w:cs="Calibri"/>
              </w:rPr>
            </w:pPr>
          </w:p>
        </w:tc>
        <w:tc>
          <w:tcPr>
            <w:tcW w:w="1466" w:type="dxa"/>
            <w:tcMar>
              <w:top w:w="0" w:type="dxa"/>
              <w:left w:w="108" w:type="dxa"/>
              <w:bottom w:w="0" w:type="dxa"/>
              <w:right w:w="108" w:type="dxa"/>
            </w:tcMar>
            <w:hideMark/>
          </w:tcPr>
          <w:p w14:paraId="79C18FC4" w14:textId="77777777" w:rsidR="006E5C07" w:rsidRPr="006E5C07" w:rsidRDefault="006E5C07" w:rsidP="006E5C07">
            <w:pPr>
              <w:spacing w:after="0" w:line="240" w:lineRule="auto"/>
              <w:jc w:val="right"/>
              <w:rPr>
                <w:rFonts w:ascii="Calibri" w:eastAsia="Times New Roman" w:hAnsi="Calibri" w:cs="Calibri"/>
              </w:rPr>
            </w:pPr>
          </w:p>
        </w:tc>
        <w:tc>
          <w:tcPr>
            <w:tcW w:w="755" w:type="dxa"/>
            <w:tcMar>
              <w:top w:w="0" w:type="dxa"/>
              <w:left w:w="108" w:type="dxa"/>
              <w:bottom w:w="0" w:type="dxa"/>
              <w:right w:w="108" w:type="dxa"/>
            </w:tcMar>
            <w:hideMark/>
          </w:tcPr>
          <w:p w14:paraId="11B53C9B" w14:textId="77777777" w:rsidR="006E5C07" w:rsidRPr="006E5C07" w:rsidRDefault="006E5C07" w:rsidP="006E5C07">
            <w:pPr>
              <w:spacing w:after="0" w:line="240" w:lineRule="auto"/>
              <w:jc w:val="right"/>
              <w:rPr>
                <w:rFonts w:ascii="Calibri" w:eastAsia="Times New Roman" w:hAnsi="Calibri" w:cs="Calibri"/>
              </w:rPr>
            </w:pPr>
          </w:p>
        </w:tc>
        <w:tc>
          <w:tcPr>
            <w:tcW w:w="1466" w:type="dxa"/>
            <w:tcMar>
              <w:top w:w="0" w:type="dxa"/>
              <w:left w:w="108" w:type="dxa"/>
              <w:bottom w:w="0" w:type="dxa"/>
              <w:right w:w="108" w:type="dxa"/>
            </w:tcMar>
            <w:hideMark/>
          </w:tcPr>
          <w:p w14:paraId="70E2B716"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2BF6A67A" w14:textId="77777777" w:rsidTr="006E5C07">
        <w:tc>
          <w:tcPr>
            <w:tcW w:w="3753" w:type="dxa"/>
            <w:tcMar>
              <w:top w:w="0" w:type="dxa"/>
              <w:left w:w="108" w:type="dxa"/>
              <w:bottom w:w="0" w:type="dxa"/>
              <w:right w:w="108" w:type="dxa"/>
            </w:tcMar>
            <w:hideMark/>
          </w:tcPr>
          <w:p w14:paraId="6311ECC6" w14:textId="77777777" w:rsidR="006E5C07" w:rsidRPr="006E5C07" w:rsidRDefault="006E5C07" w:rsidP="006E5C07">
            <w:pPr>
              <w:spacing w:after="0" w:line="240" w:lineRule="auto"/>
              <w:rPr>
                <w:rFonts w:ascii="Calibri" w:eastAsia="Times New Roman" w:hAnsi="Calibri" w:cs="Calibri"/>
                <w:b/>
                <w:bCs/>
              </w:rPr>
            </w:pPr>
          </w:p>
        </w:tc>
        <w:tc>
          <w:tcPr>
            <w:tcW w:w="506" w:type="dxa"/>
            <w:tcMar>
              <w:top w:w="0" w:type="dxa"/>
              <w:left w:w="108" w:type="dxa"/>
              <w:bottom w:w="0" w:type="dxa"/>
              <w:right w:w="108" w:type="dxa"/>
            </w:tcMar>
            <w:hideMark/>
          </w:tcPr>
          <w:p w14:paraId="41B55CF8" w14:textId="77777777" w:rsidR="006E5C07" w:rsidRPr="006E5C07" w:rsidRDefault="006E5C07" w:rsidP="006E5C07">
            <w:pPr>
              <w:spacing w:after="0" w:line="240" w:lineRule="auto"/>
              <w:jc w:val="center"/>
              <w:rPr>
                <w:rFonts w:ascii="Calibri" w:eastAsia="Times New Roman" w:hAnsi="Calibri" w:cs="Calibri"/>
              </w:rPr>
            </w:pPr>
          </w:p>
        </w:tc>
        <w:tc>
          <w:tcPr>
            <w:tcW w:w="1466" w:type="dxa"/>
            <w:tcMar>
              <w:top w:w="0" w:type="dxa"/>
              <w:left w:w="108" w:type="dxa"/>
              <w:bottom w:w="0" w:type="dxa"/>
              <w:right w:w="108" w:type="dxa"/>
            </w:tcMar>
            <w:hideMark/>
          </w:tcPr>
          <w:p w14:paraId="65BC654A" w14:textId="77777777" w:rsidR="006E5C07" w:rsidRPr="006E5C07" w:rsidRDefault="006E5C07" w:rsidP="006E5C07">
            <w:pPr>
              <w:spacing w:after="0" w:line="240" w:lineRule="auto"/>
              <w:jc w:val="right"/>
              <w:rPr>
                <w:rFonts w:ascii="Calibri" w:eastAsia="Times New Roman" w:hAnsi="Calibri" w:cs="Calibri"/>
              </w:rPr>
            </w:pPr>
          </w:p>
        </w:tc>
        <w:tc>
          <w:tcPr>
            <w:tcW w:w="755" w:type="dxa"/>
            <w:tcMar>
              <w:top w:w="0" w:type="dxa"/>
              <w:left w:w="108" w:type="dxa"/>
              <w:bottom w:w="0" w:type="dxa"/>
              <w:right w:w="108" w:type="dxa"/>
            </w:tcMar>
            <w:hideMark/>
          </w:tcPr>
          <w:p w14:paraId="0786C7DD" w14:textId="77777777" w:rsidR="006E5C07" w:rsidRPr="006E5C07" w:rsidRDefault="006E5C07" w:rsidP="006E5C07">
            <w:pPr>
              <w:spacing w:after="0" w:line="240" w:lineRule="auto"/>
              <w:jc w:val="right"/>
              <w:rPr>
                <w:rFonts w:ascii="Calibri" w:eastAsia="Times New Roman" w:hAnsi="Calibri" w:cs="Calibri"/>
              </w:rPr>
            </w:pPr>
          </w:p>
        </w:tc>
        <w:tc>
          <w:tcPr>
            <w:tcW w:w="1466" w:type="dxa"/>
            <w:tcMar>
              <w:top w:w="0" w:type="dxa"/>
              <w:left w:w="108" w:type="dxa"/>
              <w:bottom w:w="0" w:type="dxa"/>
              <w:right w:w="108" w:type="dxa"/>
            </w:tcMar>
            <w:hideMark/>
          </w:tcPr>
          <w:p w14:paraId="58AE260D"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533078F1" w14:textId="77777777" w:rsidTr="006E5C07">
        <w:tc>
          <w:tcPr>
            <w:tcW w:w="3753" w:type="dxa"/>
            <w:tcMar>
              <w:top w:w="0" w:type="dxa"/>
              <w:left w:w="108" w:type="dxa"/>
              <w:bottom w:w="0" w:type="dxa"/>
              <w:right w:w="108" w:type="dxa"/>
            </w:tcMar>
            <w:hideMark/>
          </w:tcPr>
          <w:p w14:paraId="305D636C" w14:textId="77777777" w:rsidR="006E5C07" w:rsidRPr="006E5C07" w:rsidRDefault="006E5C07" w:rsidP="006E5C07">
            <w:pPr>
              <w:spacing w:after="0" w:line="240" w:lineRule="auto"/>
              <w:rPr>
                <w:rFonts w:ascii="Calibri" w:eastAsia="Times New Roman" w:hAnsi="Calibri" w:cs="Calibri"/>
                <w:b/>
                <w:bCs/>
              </w:rPr>
            </w:pPr>
          </w:p>
        </w:tc>
        <w:tc>
          <w:tcPr>
            <w:tcW w:w="506" w:type="dxa"/>
            <w:tcMar>
              <w:top w:w="0" w:type="dxa"/>
              <w:left w:w="108" w:type="dxa"/>
              <w:bottom w:w="0" w:type="dxa"/>
              <w:right w:w="108" w:type="dxa"/>
            </w:tcMar>
            <w:hideMark/>
          </w:tcPr>
          <w:p w14:paraId="09BBFC8E" w14:textId="77777777" w:rsidR="006E5C07" w:rsidRPr="006E5C07" w:rsidRDefault="006E5C07" w:rsidP="006E5C07">
            <w:pPr>
              <w:spacing w:after="0" w:line="240" w:lineRule="auto"/>
              <w:jc w:val="center"/>
              <w:rPr>
                <w:rFonts w:ascii="Calibri" w:eastAsia="Times New Roman" w:hAnsi="Calibri" w:cs="Calibri"/>
              </w:rPr>
            </w:pPr>
          </w:p>
        </w:tc>
        <w:tc>
          <w:tcPr>
            <w:tcW w:w="1466" w:type="dxa"/>
            <w:tcMar>
              <w:top w:w="0" w:type="dxa"/>
              <w:left w:w="108" w:type="dxa"/>
              <w:bottom w:w="0" w:type="dxa"/>
              <w:right w:w="108" w:type="dxa"/>
            </w:tcMar>
            <w:hideMark/>
          </w:tcPr>
          <w:p w14:paraId="0BD490A8" w14:textId="77777777" w:rsidR="006E5C07" w:rsidRPr="006E5C07" w:rsidRDefault="006E5C07" w:rsidP="006E5C07">
            <w:pPr>
              <w:spacing w:after="0" w:line="240" w:lineRule="auto"/>
              <w:jc w:val="center"/>
              <w:rPr>
                <w:rFonts w:ascii="Calibri" w:eastAsia="Times New Roman" w:hAnsi="Calibri" w:cs="Calibri"/>
              </w:rPr>
            </w:pPr>
          </w:p>
        </w:tc>
        <w:tc>
          <w:tcPr>
            <w:tcW w:w="755" w:type="dxa"/>
            <w:tcMar>
              <w:top w:w="0" w:type="dxa"/>
              <w:left w:w="108" w:type="dxa"/>
              <w:bottom w:w="0" w:type="dxa"/>
              <w:right w:w="108" w:type="dxa"/>
            </w:tcMar>
            <w:hideMark/>
          </w:tcPr>
          <w:p w14:paraId="74BE31EE" w14:textId="77777777" w:rsidR="006E5C07" w:rsidRPr="006E5C07" w:rsidRDefault="006E5C07" w:rsidP="006E5C07">
            <w:pPr>
              <w:spacing w:after="0" w:line="240" w:lineRule="auto"/>
              <w:jc w:val="center"/>
              <w:rPr>
                <w:rFonts w:ascii="Calibri" w:eastAsia="Times New Roman" w:hAnsi="Calibri" w:cs="Calibri"/>
              </w:rPr>
            </w:pPr>
          </w:p>
        </w:tc>
        <w:tc>
          <w:tcPr>
            <w:tcW w:w="1466" w:type="dxa"/>
            <w:tcMar>
              <w:top w:w="0" w:type="dxa"/>
              <w:left w:w="108" w:type="dxa"/>
              <w:bottom w:w="0" w:type="dxa"/>
              <w:right w:w="108" w:type="dxa"/>
            </w:tcMar>
            <w:hideMark/>
          </w:tcPr>
          <w:p w14:paraId="3F8E5A71" w14:textId="77777777" w:rsidR="006E5C07" w:rsidRPr="006E5C07" w:rsidRDefault="006E5C07" w:rsidP="006E5C07">
            <w:pPr>
              <w:spacing w:after="0" w:line="240" w:lineRule="auto"/>
              <w:jc w:val="center"/>
              <w:rPr>
                <w:rFonts w:ascii="Calibri" w:eastAsia="Times New Roman" w:hAnsi="Calibri" w:cs="Calibri"/>
              </w:rPr>
            </w:pPr>
          </w:p>
        </w:tc>
      </w:tr>
      <w:tr w:rsidR="006E5C07" w:rsidRPr="006E5C07" w14:paraId="58D55289" w14:textId="77777777" w:rsidTr="006E5C07">
        <w:tc>
          <w:tcPr>
            <w:tcW w:w="3753" w:type="dxa"/>
            <w:tcMar>
              <w:top w:w="0" w:type="dxa"/>
              <w:left w:w="108" w:type="dxa"/>
              <w:bottom w:w="0" w:type="dxa"/>
              <w:right w:w="108" w:type="dxa"/>
            </w:tcMar>
            <w:hideMark/>
          </w:tcPr>
          <w:p w14:paraId="059C91DE"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At 1 January 2020</w:t>
            </w:r>
          </w:p>
          <w:p w14:paraId="62949CBB"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Adjustment in respect of losses</w:t>
            </w:r>
          </w:p>
          <w:p w14:paraId="7A4D9CC7"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Adjustment in respect of previous year</w:t>
            </w:r>
          </w:p>
          <w:p w14:paraId="0E847F3F"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lastRenderedPageBreak/>
              <w:t>Charge in respect of temporary timing differences on property, plant and equipment</w:t>
            </w:r>
          </w:p>
        </w:tc>
        <w:tc>
          <w:tcPr>
            <w:tcW w:w="506" w:type="dxa"/>
            <w:tcMar>
              <w:top w:w="0" w:type="dxa"/>
              <w:left w:w="108" w:type="dxa"/>
              <w:bottom w:w="0" w:type="dxa"/>
              <w:right w:w="108" w:type="dxa"/>
            </w:tcMar>
            <w:hideMark/>
          </w:tcPr>
          <w:p w14:paraId="0C125E98" w14:textId="77777777" w:rsidR="006E5C07" w:rsidRPr="006E5C07" w:rsidRDefault="006E5C07" w:rsidP="006E5C07">
            <w:pPr>
              <w:spacing w:after="0" w:line="240" w:lineRule="auto"/>
              <w:jc w:val="right"/>
              <w:rPr>
                <w:rFonts w:ascii="Calibri" w:eastAsia="Times New Roman" w:hAnsi="Calibri" w:cs="Calibri"/>
              </w:rPr>
            </w:pPr>
          </w:p>
        </w:tc>
        <w:tc>
          <w:tcPr>
            <w:tcW w:w="1466" w:type="dxa"/>
            <w:tcMar>
              <w:top w:w="0" w:type="dxa"/>
              <w:left w:w="108" w:type="dxa"/>
              <w:bottom w:w="0" w:type="dxa"/>
              <w:right w:w="108" w:type="dxa"/>
            </w:tcMar>
            <w:hideMark/>
          </w:tcPr>
          <w:p w14:paraId="37C3A45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w:t>
            </w:r>
          </w:p>
          <w:p w14:paraId="678577F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188</w:t>
            </w:r>
          </w:p>
          <w:p w14:paraId="0659674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p w14:paraId="2EDBC90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16</w:t>
            </w:r>
          </w:p>
        </w:tc>
        <w:tc>
          <w:tcPr>
            <w:tcW w:w="755" w:type="dxa"/>
            <w:tcMar>
              <w:top w:w="0" w:type="dxa"/>
              <w:left w:w="108" w:type="dxa"/>
              <w:bottom w:w="0" w:type="dxa"/>
              <w:right w:w="108" w:type="dxa"/>
            </w:tcMar>
            <w:hideMark/>
          </w:tcPr>
          <w:p w14:paraId="40BB5719" w14:textId="77777777" w:rsidR="006E5C07" w:rsidRPr="006E5C07" w:rsidRDefault="006E5C07" w:rsidP="006E5C07">
            <w:pPr>
              <w:spacing w:after="0" w:line="240" w:lineRule="auto"/>
              <w:jc w:val="right"/>
              <w:rPr>
                <w:rFonts w:ascii="Calibri" w:eastAsia="Times New Roman" w:hAnsi="Calibri" w:cs="Calibri"/>
              </w:rPr>
            </w:pPr>
          </w:p>
        </w:tc>
        <w:tc>
          <w:tcPr>
            <w:tcW w:w="1466" w:type="dxa"/>
            <w:tcMar>
              <w:top w:w="0" w:type="dxa"/>
              <w:left w:w="108" w:type="dxa"/>
              <w:bottom w:w="0" w:type="dxa"/>
              <w:right w:w="108" w:type="dxa"/>
            </w:tcMar>
            <w:hideMark/>
          </w:tcPr>
          <w:p w14:paraId="6E09403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(101)</w:t>
            </w:r>
          </w:p>
          <w:p w14:paraId="73F1213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p w14:paraId="0493636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85</w:t>
            </w:r>
          </w:p>
          <w:p w14:paraId="2558C04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19</w:t>
            </w:r>
          </w:p>
        </w:tc>
      </w:tr>
      <w:tr w:rsidR="006E5C07" w:rsidRPr="006E5C07" w14:paraId="5B811828" w14:textId="77777777" w:rsidTr="006E5C07">
        <w:tc>
          <w:tcPr>
            <w:tcW w:w="3753" w:type="dxa"/>
            <w:tcMar>
              <w:top w:w="0" w:type="dxa"/>
              <w:left w:w="108" w:type="dxa"/>
              <w:bottom w:w="0" w:type="dxa"/>
              <w:right w:w="108" w:type="dxa"/>
            </w:tcMar>
            <w:hideMark/>
          </w:tcPr>
          <w:p w14:paraId="0ACC3D72"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At 31 December 2020</w:t>
            </w:r>
          </w:p>
        </w:tc>
        <w:tc>
          <w:tcPr>
            <w:tcW w:w="506" w:type="dxa"/>
            <w:tcMar>
              <w:top w:w="0" w:type="dxa"/>
              <w:left w:w="108" w:type="dxa"/>
              <w:bottom w:w="0" w:type="dxa"/>
              <w:right w:w="108" w:type="dxa"/>
            </w:tcMar>
            <w:hideMark/>
          </w:tcPr>
          <w:p w14:paraId="585DF290" w14:textId="77777777" w:rsidR="006E5C07" w:rsidRPr="006E5C07" w:rsidRDefault="006E5C07" w:rsidP="006E5C07">
            <w:pPr>
              <w:spacing w:after="0" w:line="240" w:lineRule="auto"/>
              <w:jc w:val="right"/>
              <w:rPr>
                <w:rFonts w:ascii="Calibri" w:eastAsia="Times New Roman" w:hAnsi="Calibri" w:cs="Calibri"/>
                <w:b/>
                <w:bCs/>
              </w:rPr>
            </w:pPr>
          </w:p>
        </w:tc>
        <w:tc>
          <w:tcPr>
            <w:tcW w:w="1466" w:type="dxa"/>
            <w:tcBorders>
              <w:top w:val="single" w:sz="8" w:space="0" w:color="auto"/>
              <w:left w:val="nil"/>
              <w:bottom w:val="double" w:sz="6" w:space="0" w:color="auto"/>
              <w:right w:val="nil"/>
            </w:tcBorders>
            <w:tcMar>
              <w:top w:w="0" w:type="dxa"/>
              <w:left w:w="108" w:type="dxa"/>
              <w:bottom w:w="0" w:type="dxa"/>
              <w:right w:w="108" w:type="dxa"/>
            </w:tcMar>
            <w:hideMark/>
          </w:tcPr>
          <w:p w14:paraId="272F6856"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207</w:t>
            </w:r>
          </w:p>
        </w:tc>
        <w:tc>
          <w:tcPr>
            <w:tcW w:w="755" w:type="dxa"/>
            <w:tcMar>
              <w:top w:w="0" w:type="dxa"/>
              <w:left w:w="108" w:type="dxa"/>
              <w:bottom w:w="0" w:type="dxa"/>
              <w:right w:w="108" w:type="dxa"/>
            </w:tcMar>
            <w:hideMark/>
          </w:tcPr>
          <w:p w14:paraId="60C285E7" w14:textId="77777777" w:rsidR="006E5C07" w:rsidRPr="006E5C07" w:rsidRDefault="006E5C07" w:rsidP="006E5C07">
            <w:pPr>
              <w:spacing w:after="0" w:line="240" w:lineRule="auto"/>
              <w:jc w:val="right"/>
              <w:rPr>
                <w:rFonts w:ascii="Calibri" w:eastAsia="Times New Roman" w:hAnsi="Calibri" w:cs="Calibri"/>
                <w:b/>
                <w:bCs/>
              </w:rPr>
            </w:pPr>
          </w:p>
        </w:tc>
        <w:tc>
          <w:tcPr>
            <w:tcW w:w="1466" w:type="dxa"/>
            <w:tcBorders>
              <w:top w:val="single" w:sz="8" w:space="0" w:color="auto"/>
              <w:left w:val="nil"/>
              <w:bottom w:val="double" w:sz="6" w:space="0" w:color="auto"/>
              <w:right w:val="nil"/>
            </w:tcBorders>
            <w:tcMar>
              <w:top w:w="0" w:type="dxa"/>
              <w:left w:w="108" w:type="dxa"/>
              <w:bottom w:w="0" w:type="dxa"/>
              <w:right w:w="108" w:type="dxa"/>
            </w:tcMar>
            <w:hideMark/>
          </w:tcPr>
          <w:p w14:paraId="2197E6E1"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w:t>
            </w:r>
          </w:p>
        </w:tc>
      </w:tr>
    </w:tbl>
    <w:p w14:paraId="0288AF3F" w14:textId="77777777" w:rsidR="006E5C07" w:rsidRPr="006E5C07" w:rsidRDefault="006E5C07" w:rsidP="006E5C07">
      <w:pPr>
        <w:spacing w:after="0" w:line="240" w:lineRule="auto"/>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50B7A8E7" w14:textId="77777777" w:rsidR="006E5C07" w:rsidRPr="006E5C07" w:rsidRDefault="006E5C07" w:rsidP="006E5C07">
      <w:pPr>
        <w:spacing w:line="240" w:lineRule="auto"/>
        <w:ind w:hanging="567"/>
        <w:rPr>
          <w:rFonts w:ascii="Calibri" w:eastAsia="Times New Roman" w:hAnsi="Calibri" w:cs="Calibri"/>
          <w:b/>
          <w:bCs/>
          <w:color w:val="16202C"/>
        </w:rPr>
      </w:pPr>
      <w:r w:rsidRPr="006E5C07">
        <w:rPr>
          <w:rFonts w:ascii="Gill Sans MT" w:eastAsia="Times New Roman" w:hAnsi="Gill Sans MT" w:cs="Calibri"/>
          <w:b/>
          <w:bCs/>
          <w:color w:val="16202C"/>
          <w:sz w:val="18"/>
          <w:szCs w:val="18"/>
        </w:rPr>
        <w:t>19.       Cash and cash equivalents</w:t>
      </w:r>
    </w:p>
    <w:tbl>
      <w:tblPr>
        <w:tblW w:w="0" w:type="auto"/>
        <w:tblInd w:w="-108" w:type="dxa"/>
        <w:tblCellMar>
          <w:left w:w="0" w:type="dxa"/>
          <w:right w:w="0" w:type="dxa"/>
        </w:tblCellMar>
        <w:tblLook w:val="04A0" w:firstRow="1" w:lastRow="0" w:firstColumn="1" w:lastColumn="0" w:noHBand="0" w:noVBand="1"/>
      </w:tblPr>
      <w:tblGrid>
        <w:gridCol w:w="2668"/>
        <w:gridCol w:w="1587"/>
        <w:gridCol w:w="1467"/>
        <w:gridCol w:w="757"/>
        <w:gridCol w:w="1467"/>
      </w:tblGrid>
      <w:tr w:rsidR="006E5C07" w:rsidRPr="006E5C07" w14:paraId="5A50C8AC" w14:textId="77777777" w:rsidTr="006E5C07">
        <w:tc>
          <w:tcPr>
            <w:tcW w:w="2668" w:type="dxa"/>
            <w:tcMar>
              <w:top w:w="0" w:type="dxa"/>
              <w:left w:w="108" w:type="dxa"/>
              <w:bottom w:w="0" w:type="dxa"/>
              <w:right w:w="108" w:type="dxa"/>
            </w:tcMar>
            <w:hideMark/>
          </w:tcPr>
          <w:p w14:paraId="30D7756C" w14:textId="77777777" w:rsidR="006E5C07" w:rsidRPr="006E5C07" w:rsidRDefault="006E5C07" w:rsidP="006E5C07">
            <w:pPr>
              <w:spacing w:after="0" w:line="240" w:lineRule="auto"/>
              <w:rPr>
                <w:rFonts w:ascii="Calibri" w:eastAsia="Times New Roman" w:hAnsi="Calibri" w:cs="Calibri"/>
              </w:rPr>
            </w:pPr>
          </w:p>
        </w:tc>
        <w:tc>
          <w:tcPr>
            <w:tcW w:w="1587" w:type="dxa"/>
            <w:tcMar>
              <w:top w:w="0" w:type="dxa"/>
              <w:left w:w="108" w:type="dxa"/>
              <w:bottom w:w="0" w:type="dxa"/>
              <w:right w:w="108" w:type="dxa"/>
            </w:tcMar>
            <w:hideMark/>
          </w:tcPr>
          <w:p w14:paraId="54C06FFF" w14:textId="77777777" w:rsidR="006E5C07" w:rsidRPr="006E5C07" w:rsidRDefault="006E5C07" w:rsidP="006E5C07">
            <w:pPr>
              <w:spacing w:after="0" w:line="240" w:lineRule="auto"/>
              <w:jc w:val="right"/>
              <w:rPr>
                <w:rFonts w:ascii="Calibri" w:eastAsia="Times New Roman" w:hAnsi="Calibri" w:cs="Calibri"/>
              </w:rPr>
            </w:pPr>
          </w:p>
        </w:tc>
        <w:tc>
          <w:tcPr>
            <w:tcW w:w="1467" w:type="dxa"/>
            <w:tcMar>
              <w:top w:w="0" w:type="dxa"/>
              <w:left w:w="108" w:type="dxa"/>
              <w:bottom w:w="0" w:type="dxa"/>
              <w:right w:w="108" w:type="dxa"/>
            </w:tcMar>
            <w:hideMark/>
          </w:tcPr>
          <w:p w14:paraId="7595799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'20</w:t>
            </w:r>
          </w:p>
        </w:tc>
        <w:tc>
          <w:tcPr>
            <w:tcW w:w="757" w:type="dxa"/>
            <w:tcMar>
              <w:top w:w="0" w:type="dxa"/>
              <w:left w:w="108" w:type="dxa"/>
              <w:bottom w:w="0" w:type="dxa"/>
              <w:right w:w="108" w:type="dxa"/>
            </w:tcMar>
            <w:hideMark/>
          </w:tcPr>
          <w:p w14:paraId="02660AD8" w14:textId="77777777" w:rsidR="006E5C07" w:rsidRPr="006E5C07" w:rsidRDefault="006E5C07" w:rsidP="006E5C07">
            <w:pPr>
              <w:spacing w:after="0" w:line="240" w:lineRule="auto"/>
              <w:jc w:val="right"/>
              <w:rPr>
                <w:rFonts w:ascii="Calibri" w:eastAsia="Times New Roman" w:hAnsi="Calibri" w:cs="Calibri"/>
              </w:rPr>
            </w:pPr>
          </w:p>
        </w:tc>
        <w:tc>
          <w:tcPr>
            <w:tcW w:w="1467" w:type="dxa"/>
            <w:tcMar>
              <w:top w:w="0" w:type="dxa"/>
              <w:left w:w="108" w:type="dxa"/>
              <w:bottom w:w="0" w:type="dxa"/>
              <w:right w:w="108" w:type="dxa"/>
            </w:tcMar>
            <w:hideMark/>
          </w:tcPr>
          <w:p w14:paraId="1FBABF7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'19</w:t>
            </w:r>
          </w:p>
        </w:tc>
      </w:tr>
      <w:tr w:rsidR="006E5C07" w:rsidRPr="006E5C07" w14:paraId="46D8E0B1" w14:textId="77777777" w:rsidTr="006E5C07">
        <w:tc>
          <w:tcPr>
            <w:tcW w:w="2668" w:type="dxa"/>
            <w:tcMar>
              <w:top w:w="0" w:type="dxa"/>
              <w:left w:w="108" w:type="dxa"/>
              <w:bottom w:w="0" w:type="dxa"/>
              <w:right w:w="108" w:type="dxa"/>
            </w:tcMar>
            <w:hideMark/>
          </w:tcPr>
          <w:p w14:paraId="682F4A0B" w14:textId="77777777" w:rsidR="006E5C07" w:rsidRPr="006E5C07" w:rsidRDefault="006E5C07" w:rsidP="006E5C07">
            <w:pPr>
              <w:spacing w:after="0" w:line="240" w:lineRule="auto"/>
              <w:rPr>
                <w:rFonts w:ascii="Calibri" w:eastAsia="Times New Roman" w:hAnsi="Calibri" w:cs="Calibri"/>
              </w:rPr>
            </w:pPr>
          </w:p>
        </w:tc>
        <w:tc>
          <w:tcPr>
            <w:tcW w:w="1587" w:type="dxa"/>
            <w:tcMar>
              <w:top w:w="0" w:type="dxa"/>
              <w:left w:w="108" w:type="dxa"/>
              <w:bottom w:w="0" w:type="dxa"/>
              <w:right w:w="108" w:type="dxa"/>
            </w:tcMar>
            <w:hideMark/>
          </w:tcPr>
          <w:p w14:paraId="793886D9" w14:textId="77777777" w:rsidR="006E5C07" w:rsidRPr="006E5C07" w:rsidRDefault="006E5C07" w:rsidP="006E5C07">
            <w:pPr>
              <w:spacing w:after="0" w:line="240" w:lineRule="auto"/>
              <w:jc w:val="right"/>
              <w:rPr>
                <w:rFonts w:ascii="Calibri" w:eastAsia="Times New Roman" w:hAnsi="Calibri" w:cs="Calibri"/>
              </w:rPr>
            </w:pPr>
          </w:p>
        </w:tc>
        <w:tc>
          <w:tcPr>
            <w:tcW w:w="1467" w:type="dxa"/>
            <w:tcMar>
              <w:top w:w="0" w:type="dxa"/>
              <w:left w:w="108" w:type="dxa"/>
              <w:bottom w:w="0" w:type="dxa"/>
              <w:right w:w="108" w:type="dxa"/>
            </w:tcMar>
            <w:hideMark/>
          </w:tcPr>
          <w:p w14:paraId="089A208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757" w:type="dxa"/>
            <w:tcMar>
              <w:top w:w="0" w:type="dxa"/>
              <w:left w:w="108" w:type="dxa"/>
              <w:bottom w:w="0" w:type="dxa"/>
              <w:right w:w="108" w:type="dxa"/>
            </w:tcMar>
            <w:hideMark/>
          </w:tcPr>
          <w:p w14:paraId="1BDEB1E3" w14:textId="77777777" w:rsidR="006E5C07" w:rsidRPr="006E5C07" w:rsidRDefault="006E5C07" w:rsidP="006E5C07">
            <w:pPr>
              <w:spacing w:after="0" w:line="240" w:lineRule="auto"/>
              <w:jc w:val="right"/>
              <w:rPr>
                <w:rFonts w:ascii="Calibri" w:eastAsia="Times New Roman" w:hAnsi="Calibri" w:cs="Calibri"/>
              </w:rPr>
            </w:pPr>
          </w:p>
        </w:tc>
        <w:tc>
          <w:tcPr>
            <w:tcW w:w="1467" w:type="dxa"/>
            <w:tcMar>
              <w:top w:w="0" w:type="dxa"/>
              <w:left w:w="108" w:type="dxa"/>
              <w:bottom w:w="0" w:type="dxa"/>
              <w:right w:w="108" w:type="dxa"/>
            </w:tcMar>
            <w:hideMark/>
          </w:tcPr>
          <w:p w14:paraId="495B18F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4FC74EA5" w14:textId="77777777" w:rsidTr="006E5C07">
        <w:tc>
          <w:tcPr>
            <w:tcW w:w="2668" w:type="dxa"/>
            <w:tcMar>
              <w:top w:w="0" w:type="dxa"/>
              <w:left w:w="108" w:type="dxa"/>
              <w:bottom w:w="0" w:type="dxa"/>
              <w:right w:w="108" w:type="dxa"/>
            </w:tcMar>
            <w:hideMark/>
          </w:tcPr>
          <w:p w14:paraId="0930CBE8" w14:textId="77777777" w:rsidR="006E5C07" w:rsidRPr="006E5C07" w:rsidRDefault="006E5C07" w:rsidP="006E5C07">
            <w:pPr>
              <w:spacing w:after="0" w:line="240" w:lineRule="auto"/>
              <w:rPr>
                <w:rFonts w:ascii="Calibri" w:eastAsia="Times New Roman" w:hAnsi="Calibri" w:cs="Calibri"/>
              </w:rPr>
            </w:pPr>
          </w:p>
        </w:tc>
        <w:tc>
          <w:tcPr>
            <w:tcW w:w="1587" w:type="dxa"/>
            <w:tcMar>
              <w:top w:w="0" w:type="dxa"/>
              <w:left w:w="108" w:type="dxa"/>
              <w:bottom w:w="0" w:type="dxa"/>
              <w:right w:w="108" w:type="dxa"/>
            </w:tcMar>
            <w:hideMark/>
          </w:tcPr>
          <w:p w14:paraId="300B4272" w14:textId="77777777" w:rsidR="006E5C07" w:rsidRPr="006E5C07" w:rsidRDefault="006E5C07" w:rsidP="006E5C07">
            <w:pPr>
              <w:spacing w:after="0" w:line="240" w:lineRule="auto"/>
              <w:jc w:val="right"/>
              <w:rPr>
                <w:rFonts w:ascii="Calibri" w:eastAsia="Times New Roman" w:hAnsi="Calibri" w:cs="Calibri"/>
              </w:rPr>
            </w:pPr>
          </w:p>
        </w:tc>
        <w:tc>
          <w:tcPr>
            <w:tcW w:w="1467" w:type="dxa"/>
            <w:tcMar>
              <w:top w:w="0" w:type="dxa"/>
              <w:left w:w="108" w:type="dxa"/>
              <w:bottom w:w="0" w:type="dxa"/>
              <w:right w:w="108" w:type="dxa"/>
            </w:tcMar>
            <w:hideMark/>
          </w:tcPr>
          <w:p w14:paraId="3B00EDF9" w14:textId="77777777" w:rsidR="006E5C07" w:rsidRPr="006E5C07" w:rsidRDefault="006E5C07" w:rsidP="006E5C07">
            <w:pPr>
              <w:spacing w:after="0" w:line="240" w:lineRule="auto"/>
              <w:jc w:val="right"/>
              <w:rPr>
                <w:rFonts w:ascii="Calibri" w:eastAsia="Times New Roman" w:hAnsi="Calibri" w:cs="Calibri"/>
              </w:rPr>
            </w:pPr>
          </w:p>
        </w:tc>
        <w:tc>
          <w:tcPr>
            <w:tcW w:w="757" w:type="dxa"/>
            <w:tcMar>
              <w:top w:w="0" w:type="dxa"/>
              <w:left w:w="108" w:type="dxa"/>
              <w:bottom w:w="0" w:type="dxa"/>
              <w:right w:w="108" w:type="dxa"/>
            </w:tcMar>
            <w:hideMark/>
          </w:tcPr>
          <w:p w14:paraId="2DB64C24" w14:textId="77777777" w:rsidR="006E5C07" w:rsidRPr="006E5C07" w:rsidRDefault="006E5C07" w:rsidP="006E5C07">
            <w:pPr>
              <w:spacing w:after="0" w:line="240" w:lineRule="auto"/>
              <w:jc w:val="right"/>
              <w:rPr>
                <w:rFonts w:ascii="Calibri" w:eastAsia="Times New Roman" w:hAnsi="Calibri" w:cs="Calibri"/>
              </w:rPr>
            </w:pPr>
          </w:p>
        </w:tc>
        <w:tc>
          <w:tcPr>
            <w:tcW w:w="1467" w:type="dxa"/>
            <w:tcMar>
              <w:top w:w="0" w:type="dxa"/>
              <w:left w:w="108" w:type="dxa"/>
              <w:bottom w:w="0" w:type="dxa"/>
              <w:right w:w="108" w:type="dxa"/>
            </w:tcMar>
            <w:hideMark/>
          </w:tcPr>
          <w:p w14:paraId="4593BD05"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4AB4034F" w14:textId="77777777" w:rsidTr="006E5C07">
        <w:tc>
          <w:tcPr>
            <w:tcW w:w="2668" w:type="dxa"/>
            <w:tcMar>
              <w:top w:w="0" w:type="dxa"/>
              <w:left w:w="108" w:type="dxa"/>
              <w:bottom w:w="0" w:type="dxa"/>
              <w:right w:w="108" w:type="dxa"/>
            </w:tcMar>
            <w:hideMark/>
          </w:tcPr>
          <w:p w14:paraId="2C20E403"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Cash at bank and on hand</w:t>
            </w:r>
          </w:p>
        </w:tc>
        <w:tc>
          <w:tcPr>
            <w:tcW w:w="1587" w:type="dxa"/>
            <w:tcMar>
              <w:top w:w="0" w:type="dxa"/>
              <w:left w:w="108" w:type="dxa"/>
              <w:bottom w:w="0" w:type="dxa"/>
              <w:right w:w="108" w:type="dxa"/>
            </w:tcMar>
            <w:hideMark/>
          </w:tcPr>
          <w:p w14:paraId="04D8194A" w14:textId="77777777" w:rsidR="006E5C07" w:rsidRPr="006E5C07" w:rsidRDefault="006E5C07" w:rsidP="006E5C07">
            <w:pPr>
              <w:spacing w:after="0" w:line="240" w:lineRule="auto"/>
              <w:jc w:val="right"/>
              <w:rPr>
                <w:rFonts w:ascii="Calibri" w:eastAsia="Times New Roman" w:hAnsi="Calibri" w:cs="Calibri"/>
              </w:rPr>
            </w:pPr>
          </w:p>
        </w:tc>
        <w:tc>
          <w:tcPr>
            <w:tcW w:w="1467" w:type="dxa"/>
            <w:tcMar>
              <w:top w:w="0" w:type="dxa"/>
              <w:left w:w="108" w:type="dxa"/>
              <w:bottom w:w="0" w:type="dxa"/>
              <w:right w:w="108" w:type="dxa"/>
            </w:tcMar>
            <w:hideMark/>
          </w:tcPr>
          <w:p w14:paraId="714EE95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839</w:t>
            </w:r>
          </w:p>
        </w:tc>
        <w:tc>
          <w:tcPr>
            <w:tcW w:w="757" w:type="dxa"/>
            <w:tcMar>
              <w:top w:w="0" w:type="dxa"/>
              <w:left w:w="108" w:type="dxa"/>
              <w:bottom w:w="0" w:type="dxa"/>
              <w:right w:w="108" w:type="dxa"/>
            </w:tcMar>
            <w:hideMark/>
          </w:tcPr>
          <w:p w14:paraId="7B59ECE4" w14:textId="77777777" w:rsidR="006E5C07" w:rsidRPr="006E5C07" w:rsidRDefault="006E5C07" w:rsidP="006E5C07">
            <w:pPr>
              <w:spacing w:after="0" w:line="240" w:lineRule="auto"/>
              <w:jc w:val="right"/>
              <w:rPr>
                <w:rFonts w:ascii="Calibri" w:eastAsia="Times New Roman" w:hAnsi="Calibri" w:cs="Calibri"/>
              </w:rPr>
            </w:pPr>
          </w:p>
        </w:tc>
        <w:tc>
          <w:tcPr>
            <w:tcW w:w="1467" w:type="dxa"/>
            <w:tcMar>
              <w:top w:w="0" w:type="dxa"/>
              <w:left w:w="108" w:type="dxa"/>
              <w:bottom w:w="0" w:type="dxa"/>
              <w:right w:w="108" w:type="dxa"/>
            </w:tcMar>
            <w:hideMark/>
          </w:tcPr>
          <w:p w14:paraId="43E1DBA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1,227</w:t>
            </w:r>
          </w:p>
        </w:tc>
      </w:tr>
      <w:tr w:rsidR="006E5C07" w:rsidRPr="006E5C07" w14:paraId="5AD5FD1B" w14:textId="77777777" w:rsidTr="006E5C07">
        <w:tc>
          <w:tcPr>
            <w:tcW w:w="2668" w:type="dxa"/>
            <w:tcMar>
              <w:top w:w="0" w:type="dxa"/>
              <w:left w:w="108" w:type="dxa"/>
              <w:bottom w:w="0" w:type="dxa"/>
              <w:right w:w="108" w:type="dxa"/>
            </w:tcMar>
            <w:hideMark/>
          </w:tcPr>
          <w:p w14:paraId="76EFDAA4" w14:textId="77777777" w:rsidR="006E5C07" w:rsidRPr="006E5C07" w:rsidRDefault="006E5C07" w:rsidP="006E5C07">
            <w:pPr>
              <w:spacing w:after="0" w:line="240" w:lineRule="auto"/>
              <w:rPr>
                <w:rFonts w:ascii="Calibri" w:eastAsia="Times New Roman" w:hAnsi="Calibri" w:cs="Calibri"/>
              </w:rPr>
            </w:pPr>
          </w:p>
        </w:tc>
        <w:tc>
          <w:tcPr>
            <w:tcW w:w="1587" w:type="dxa"/>
            <w:tcMar>
              <w:top w:w="0" w:type="dxa"/>
              <w:left w:w="108" w:type="dxa"/>
              <w:bottom w:w="0" w:type="dxa"/>
              <w:right w:w="108" w:type="dxa"/>
            </w:tcMar>
            <w:hideMark/>
          </w:tcPr>
          <w:p w14:paraId="6AA3C9D3" w14:textId="77777777" w:rsidR="006E5C07" w:rsidRPr="006E5C07" w:rsidRDefault="006E5C07" w:rsidP="006E5C07">
            <w:pPr>
              <w:spacing w:after="0" w:line="240" w:lineRule="auto"/>
              <w:jc w:val="right"/>
              <w:rPr>
                <w:rFonts w:ascii="Calibri" w:eastAsia="Times New Roman" w:hAnsi="Calibri" w:cs="Calibri"/>
                <w:b/>
                <w:bCs/>
              </w:rPr>
            </w:pPr>
          </w:p>
        </w:tc>
        <w:tc>
          <w:tcPr>
            <w:tcW w:w="1467" w:type="dxa"/>
            <w:tcBorders>
              <w:top w:val="single" w:sz="8" w:space="0" w:color="auto"/>
              <w:left w:val="nil"/>
              <w:bottom w:val="double" w:sz="6" w:space="0" w:color="auto"/>
              <w:right w:val="nil"/>
            </w:tcBorders>
            <w:tcMar>
              <w:top w:w="0" w:type="dxa"/>
              <w:left w:w="108" w:type="dxa"/>
              <w:bottom w:w="0" w:type="dxa"/>
              <w:right w:w="108" w:type="dxa"/>
            </w:tcMar>
            <w:hideMark/>
          </w:tcPr>
          <w:p w14:paraId="2882946C"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839</w:t>
            </w:r>
          </w:p>
        </w:tc>
        <w:tc>
          <w:tcPr>
            <w:tcW w:w="757" w:type="dxa"/>
            <w:tcMar>
              <w:top w:w="0" w:type="dxa"/>
              <w:left w:w="108" w:type="dxa"/>
              <w:bottom w:w="0" w:type="dxa"/>
              <w:right w:w="108" w:type="dxa"/>
            </w:tcMar>
            <w:hideMark/>
          </w:tcPr>
          <w:p w14:paraId="3484B4DF" w14:textId="77777777" w:rsidR="006E5C07" w:rsidRPr="006E5C07" w:rsidRDefault="006E5C07" w:rsidP="006E5C07">
            <w:pPr>
              <w:spacing w:after="0" w:line="240" w:lineRule="auto"/>
              <w:jc w:val="right"/>
              <w:rPr>
                <w:rFonts w:ascii="Calibri" w:eastAsia="Times New Roman" w:hAnsi="Calibri" w:cs="Calibri"/>
                <w:b/>
                <w:bCs/>
              </w:rPr>
            </w:pPr>
          </w:p>
        </w:tc>
        <w:tc>
          <w:tcPr>
            <w:tcW w:w="1467" w:type="dxa"/>
            <w:tcBorders>
              <w:top w:val="single" w:sz="8" w:space="0" w:color="auto"/>
              <w:left w:val="nil"/>
              <w:bottom w:val="double" w:sz="6" w:space="0" w:color="auto"/>
              <w:right w:val="nil"/>
            </w:tcBorders>
            <w:tcMar>
              <w:top w:w="0" w:type="dxa"/>
              <w:left w:w="108" w:type="dxa"/>
              <w:bottom w:w="0" w:type="dxa"/>
              <w:right w:w="108" w:type="dxa"/>
            </w:tcMar>
            <w:hideMark/>
          </w:tcPr>
          <w:p w14:paraId="621BAD58"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1,227</w:t>
            </w:r>
          </w:p>
        </w:tc>
      </w:tr>
    </w:tbl>
    <w:p w14:paraId="5E5BE37A" w14:textId="77777777" w:rsidR="006E5C07" w:rsidRPr="006E5C07" w:rsidRDefault="006E5C07" w:rsidP="006E5C07">
      <w:pPr>
        <w:spacing w:after="0" w:line="240" w:lineRule="auto"/>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0632A407" w14:textId="77777777" w:rsidR="006E5C07" w:rsidRPr="006E5C07" w:rsidRDefault="006E5C07" w:rsidP="006E5C07">
      <w:pPr>
        <w:spacing w:line="240" w:lineRule="auto"/>
        <w:ind w:hanging="567"/>
        <w:rPr>
          <w:rFonts w:ascii="Calibri" w:eastAsia="Times New Roman" w:hAnsi="Calibri" w:cs="Calibri"/>
          <w:b/>
          <w:bCs/>
          <w:color w:val="16202C"/>
        </w:rPr>
      </w:pPr>
      <w:r w:rsidRPr="006E5C07">
        <w:rPr>
          <w:rFonts w:ascii="Gill Sans MT" w:eastAsia="Times New Roman" w:hAnsi="Gill Sans MT" w:cs="Calibri"/>
          <w:b/>
          <w:bCs/>
          <w:color w:val="16202C"/>
          <w:sz w:val="18"/>
          <w:szCs w:val="18"/>
        </w:rPr>
        <w:t>20.       Trade and other payables</w:t>
      </w:r>
    </w:p>
    <w:tbl>
      <w:tblPr>
        <w:tblW w:w="0" w:type="auto"/>
        <w:tblInd w:w="-108" w:type="dxa"/>
        <w:tblCellMar>
          <w:left w:w="0" w:type="dxa"/>
          <w:right w:w="0" w:type="dxa"/>
        </w:tblCellMar>
        <w:tblLook w:val="04A0" w:firstRow="1" w:lastRow="0" w:firstColumn="1" w:lastColumn="0" w:noHBand="0" w:noVBand="1"/>
      </w:tblPr>
      <w:tblGrid>
        <w:gridCol w:w="2678"/>
        <w:gridCol w:w="1583"/>
        <w:gridCol w:w="1465"/>
        <w:gridCol w:w="755"/>
        <w:gridCol w:w="1465"/>
      </w:tblGrid>
      <w:tr w:rsidR="006E5C07" w:rsidRPr="006E5C07" w14:paraId="22BB569F" w14:textId="77777777" w:rsidTr="006E5C07">
        <w:tc>
          <w:tcPr>
            <w:tcW w:w="2678" w:type="dxa"/>
            <w:tcMar>
              <w:top w:w="0" w:type="dxa"/>
              <w:left w:w="108" w:type="dxa"/>
              <w:bottom w:w="0" w:type="dxa"/>
              <w:right w:w="108" w:type="dxa"/>
            </w:tcMar>
            <w:hideMark/>
          </w:tcPr>
          <w:p w14:paraId="5FCB58D0" w14:textId="77777777" w:rsidR="006E5C07" w:rsidRPr="006E5C07" w:rsidRDefault="006E5C07" w:rsidP="006E5C07">
            <w:pPr>
              <w:spacing w:after="0" w:line="240" w:lineRule="auto"/>
              <w:rPr>
                <w:rFonts w:ascii="Calibri" w:eastAsia="Times New Roman" w:hAnsi="Calibri" w:cs="Calibri"/>
              </w:rPr>
            </w:pPr>
          </w:p>
        </w:tc>
        <w:tc>
          <w:tcPr>
            <w:tcW w:w="1583" w:type="dxa"/>
            <w:tcMar>
              <w:top w:w="0" w:type="dxa"/>
              <w:left w:w="108" w:type="dxa"/>
              <w:bottom w:w="0" w:type="dxa"/>
              <w:right w:w="108" w:type="dxa"/>
            </w:tcMar>
            <w:hideMark/>
          </w:tcPr>
          <w:p w14:paraId="171B0D37"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03D6AEC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'20</w:t>
            </w:r>
          </w:p>
        </w:tc>
        <w:tc>
          <w:tcPr>
            <w:tcW w:w="755" w:type="dxa"/>
            <w:tcMar>
              <w:top w:w="0" w:type="dxa"/>
              <w:left w:w="108" w:type="dxa"/>
              <w:bottom w:w="0" w:type="dxa"/>
              <w:right w:w="108" w:type="dxa"/>
            </w:tcMar>
            <w:hideMark/>
          </w:tcPr>
          <w:p w14:paraId="5DFCD4AC"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4777C16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'19</w:t>
            </w:r>
          </w:p>
          <w:p w14:paraId="584323A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as restated</w:t>
            </w:r>
          </w:p>
        </w:tc>
      </w:tr>
      <w:tr w:rsidR="006E5C07" w:rsidRPr="006E5C07" w14:paraId="6D966E2E" w14:textId="77777777" w:rsidTr="006E5C07">
        <w:tc>
          <w:tcPr>
            <w:tcW w:w="2678" w:type="dxa"/>
            <w:tcMar>
              <w:top w:w="0" w:type="dxa"/>
              <w:left w:w="108" w:type="dxa"/>
              <w:bottom w:w="0" w:type="dxa"/>
              <w:right w:w="108" w:type="dxa"/>
            </w:tcMar>
            <w:hideMark/>
          </w:tcPr>
          <w:p w14:paraId="07F6D7E6" w14:textId="77777777" w:rsidR="006E5C07" w:rsidRPr="006E5C07" w:rsidRDefault="006E5C07" w:rsidP="006E5C07">
            <w:pPr>
              <w:spacing w:after="0" w:line="240" w:lineRule="auto"/>
              <w:rPr>
                <w:rFonts w:ascii="Calibri" w:eastAsia="Times New Roman" w:hAnsi="Calibri" w:cs="Calibri"/>
              </w:rPr>
            </w:pPr>
          </w:p>
        </w:tc>
        <w:tc>
          <w:tcPr>
            <w:tcW w:w="1583" w:type="dxa"/>
            <w:tcMar>
              <w:top w:w="0" w:type="dxa"/>
              <w:left w:w="108" w:type="dxa"/>
              <w:bottom w:w="0" w:type="dxa"/>
              <w:right w:w="108" w:type="dxa"/>
            </w:tcMar>
            <w:hideMark/>
          </w:tcPr>
          <w:p w14:paraId="23C546A2"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6233718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755" w:type="dxa"/>
            <w:tcMar>
              <w:top w:w="0" w:type="dxa"/>
              <w:left w:w="108" w:type="dxa"/>
              <w:bottom w:w="0" w:type="dxa"/>
              <w:right w:w="108" w:type="dxa"/>
            </w:tcMar>
            <w:hideMark/>
          </w:tcPr>
          <w:p w14:paraId="6A97C047"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5AB85B6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5DA312E7" w14:textId="77777777" w:rsidTr="006E5C07">
        <w:tc>
          <w:tcPr>
            <w:tcW w:w="2678" w:type="dxa"/>
            <w:tcMar>
              <w:top w:w="0" w:type="dxa"/>
              <w:left w:w="108" w:type="dxa"/>
              <w:bottom w:w="0" w:type="dxa"/>
              <w:right w:w="108" w:type="dxa"/>
            </w:tcMar>
            <w:hideMark/>
          </w:tcPr>
          <w:p w14:paraId="3F0DC1AA" w14:textId="77777777" w:rsidR="006E5C07" w:rsidRPr="006E5C07" w:rsidRDefault="006E5C07" w:rsidP="006E5C07">
            <w:pPr>
              <w:spacing w:after="0" w:line="240" w:lineRule="auto"/>
              <w:rPr>
                <w:rFonts w:ascii="Calibri" w:eastAsia="Times New Roman" w:hAnsi="Calibri" w:cs="Calibri"/>
              </w:rPr>
            </w:pPr>
          </w:p>
        </w:tc>
        <w:tc>
          <w:tcPr>
            <w:tcW w:w="1583" w:type="dxa"/>
            <w:tcMar>
              <w:top w:w="0" w:type="dxa"/>
              <w:left w:w="108" w:type="dxa"/>
              <w:bottom w:w="0" w:type="dxa"/>
              <w:right w:w="108" w:type="dxa"/>
            </w:tcMar>
            <w:hideMark/>
          </w:tcPr>
          <w:p w14:paraId="0DCB606A"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4E3E8B30" w14:textId="77777777" w:rsidR="006E5C07" w:rsidRPr="006E5C07" w:rsidRDefault="006E5C07" w:rsidP="006E5C07">
            <w:pPr>
              <w:spacing w:after="0" w:line="240" w:lineRule="auto"/>
              <w:jc w:val="right"/>
              <w:rPr>
                <w:rFonts w:ascii="Calibri" w:eastAsia="Times New Roman" w:hAnsi="Calibri" w:cs="Calibri"/>
              </w:rPr>
            </w:pPr>
          </w:p>
        </w:tc>
        <w:tc>
          <w:tcPr>
            <w:tcW w:w="755" w:type="dxa"/>
            <w:tcMar>
              <w:top w:w="0" w:type="dxa"/>
              <w:left w:w="108" w:type="dxa"/>
              <w:bottom w:w="0" w:type="dxa"/>
              <w:right w:w="108" w:type="dxa"/>
            </w:tcMar>
            <w:hideMark/>
          </w:tcPr>
          <w:p w14:paraId="506E919E"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3CD54ACB"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477A9B44" w14:textId="77777777" w:rsidTr="006E5C07">
        <w:tc>
          <w:tcPr>
            <w:tcW w:w="2678" w:type="dxa"/>
            <w:tcMar>
              <w:top w:w="0" w:type="dxa"/>
              <w:left w:w="108" w:type="dxa"/>
              <w:bottom w:w="0" w:type="dxa"/>
              <w:right w:w="108" w:type="dxa"/>
            </w:tcMar>
            <w:hideMark/>
          </w:tcPr>
          <w:p w14:paraId="54191ADB"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Trade creditors</w:t>
            </w:r>
          </w:p>
        </w:tc>
        <w:tc>
          <w:tcPr>
            <w:tcW w:w="1583" w:type="dxa"/>
            <w:tcMar>
              <w:top w:w="0" w:type="dxa"/>
              <w:left w:w="108" w:type="dxa"/>
              <w:bottom w:w="0" w:type="dxa"/>
              <w:right w:w="108" w:type="dxa"/>
            </w:tcMar>
            <w:hideMark/>
          </w:tcPr>
          <w:p w14:paraId="622835D3"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3BA5B99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672</w:t>
            </w:r>
          </w:p>
        </w:tc>
        <w:tc>
          <w:tcPr>
            <w:tcW w:w="755" w:type="dxa"/>
            <w:tcMar>
              <w:top w:w="0" w:type="dxa"/>
              <w:left w:w="108" w:type="dxa"/>
              <w:bottom w:w="0" w:type="dxa"/>
              <w:right w:w="108" w:type="dxa"/>
            </w:tcMar>
            <w:hideMark/>
          </w:tcPr>
          <w:p w14:paraId="5FCCC850"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4E2DA0B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419</w:t>
            </w:r>
          </w:p>
        </w:tc>
      </w:tr>
      <w:tr w:rsidR="006E5C07" w:rsidRPr="006E5C07" w14:paraId="26652A2C" w14:textId="77777777" w:rsidTr="006E5C07">
        <w:tc>
          <w:tcPr>
            <w:tcW w:w="2678" w:type="dxa"/>
            <w:tcMar>
              <w:top w:w="0" w:type="dxa"/>
              <w:left w:w="108" w:type="dxa"/>
              <w:bottom w:w="0" w:type="dxa"/>
              <w:right w:w="108" w:type="dxa"/>
            </w:tcMar>
            <w:hideMark/>
          </w:tcPr>
          <w:p w14:paraId="45A347EF"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Other creditors</w:t>
            </w:r>
          </w:p>
          <w:p w14:paraId="240B7990"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Lease liabilities</w:t>
            </w:r>
          </w:p>
        </w:tc>
        <w:tc>
          <w:tcPr>
            <w:tcW w:w="1583" w:type="dxa"/>
            <w:tcMar>
              <w:top w:w="0" w:type="dxa"/>
              <w:left w:w="108" w:type="dxa"/>
              <w:bottom w:w="0" w:type="dxa"/>
              <w:right w:w="108" w:type="dxa"/>
            </w:tcMar>
            <w:hideMark/>
          </w:tcPr>
          <w:p w14:paraId="674345B4"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1AD5F3A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1,244</w:t>
            </w:r>
          </w:p>
          <w:p w14:paraId="1CF1A27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286</w:t>
            </w:r>
          </w:p>
        </w:tc>
        <w:tc>
          <w:tcPr>
            <w:tcW w:w="755" w:type="dxa"/>
            <w:tcMar>
              <w:top w:w="0" w:type="dxa"/>
              <w:left w:w="108" w:type="dxa"/>
              <w:bottom w:w="0" w:type="dxa"/>
              <w:right w:w="108" w:type="dxa"/>
            </w:tcMar>
            <w:hideMark/>
          </w:tcPr>
          <w:p w14:paraId="7CF283AC"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7EB2528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1,391</w:t>
            </w:r>
          </w:p>
          <w:p w14:paraId="1A14AE0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206</w:t>
            </w:r>
          </w:p>
        </w:tc>
      </w:tr>
      <w:tr w:rsidR="006E5C07" w:rsidRPr="006E5C07" w14:paraId="60996A1B" w14:textId="77777777" w:rsidTr="006E5C07">
        <w:tc>
          <w:tcPr>
            <w:tcW w:w="2678" w:type="dxa"/>
            <w:tcMar>
              <w:top w:w="0" w:type="dxa"/>
              <w:left w:w="108" w:type="dxa"/>
              <w:bottom w:w="0" w:type="dxa"/>
              <w:right w:w="108" w:type="dxa"/>
            </w:tcMar>
            <w:hideMark/>
          </w:tcPr>
          <w:p w14:paraId="120F957B"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Social Security and other taxes</w:t>
            </w:r>
          </w:p>
        </w:tc>
        <w:tc>
          <w:tcPr>
            <w:tcW w:w="1583" w:type="dxa"/>
            <w:tcMar>
              <w:top w:w="0" w:type="dxa"/>
              <w:left w:w="108" w:type="dxa"/>
              <w:bottom w:w="0" w:type="dxa"/>
              <w:right w:w="108" w:type="dxa"/>
            </w:tcMar>
            <w:hideMark/>
          </w:tcPr>
          <w:p w14:paraId="7AE64BB3" w14:textId="77777777" w:rsidR="006E5C07" w:rsidRPr="006E5C07" w:rsidRDefault="006E5C07" w:rsidP="006E5C07">
            <w:pPr>
              <w:spacing w:after="0" w:line="240" w:lineRule="auto"/>
              <w:jc w:val="right"/>
              <w:rPr>
                <w:rFonts w:ascii="Calibri" w:eastAsia="Times New Roman" w:hAnsi="Calibri" w:cs="Calibri"/>
              </w:rPr>
            </w:pPr>
          </w:p>
        </w:tc>
        <w:tc>
          <w:tcPr>
            <w:tcW w:w="1465" w:type="dxa"/>
            <w:tcMar>
              <w:top w:w="0" w:type="dxa"/>
              <w:left w:w="108" w:type="dxa"/>
              <w:bottom w:w="0" w:type="dxa"/>
              <w:right w:w="108" w:type="dxa"/>
            </w:tcMar>
            <w:hideMark/>
          </w:tcPr>
          <w:p w14:paraId="6FF2FED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185</w:t>
            </w:r>
          </w:p>
        </w:tc>
        <w:tc>
          <w:tcPr>
            <w:tcW w:w="755" w:type="dxa"/>
            <w:tcMar>
              <w:top w:w="0" w:type="dxa"/>
              <w:left w:w="108" w:type="dxa"/>
              <w:bottom w:w="0" w:type="dxa"/>
              <w:right w:w="108" w:type="dxa"/>
            </w:tcMar>
            <w:hideMark/>
          </w:tcPr>
          <w:p w14:paraId="5826B49A" w14:textId="77777777" w:rsidR="006E5C07" w:rsidRPr="006E5C07" w:rsidRDefault="006E5C07" w:rsidP="006E5C07">
            <w:pPr>
              <w:spacing w:after="0" w:line="240" w:lineRule="auto"/>
              <w:jc w:val="right"/>
              <w:rPr>
                <w:rFonts w:ascii="Calibri" w:eastAsia="Times New Roman" w:hAnsi="Calibri" w:cs="Calibri"/>
              </w:rPr>
            </w:pPr>
          </w:p>
        </w:tc>
        <w:tc>
          <w:tcPr>
            <w:tcW w:w="1465" w:type="dxa"/>
            <w:tcMar>
              <w:top w:w="0" w:type="dxa"/>
              <w:left w:w="108" w:type="dxa"/>
              <w:bottom w:w="0" w:type="dxa"/>
              <w:right w:w="108" w:type="dxa"/>
            </w:tcMar>
            <w:hideMark/>
          </w:tcPr>
          <w:p w14:paraId="5FEB4A9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301</w:t>
            </w:r>
          </w:p>
        </w:tc>
      </w:tr>
      <w:tr w:rsidR="006E5C07" w:rsidRPr="006E5C07" w14:paraId="461A115A" w14:textId="77777777" w:rsidTr="006E5C07">
        <w:tc>
          <w:tcPr>
            <w:tcW w:w="2678" w:type="dxa"/>
            <w:tcMar>
              <w:top w:w="0" w:type="dxa"/>
              <w:left w:w="108" w:type="dxa"/>
              <w:bottom w:w="0" w:type="dxa"/>
              <w:right w:w="108" w:type="dxa"/>
            </w:tcMar>
            <w:hideMark/>
          </w:tcPr>
          <w:p w14:paraId="7888732F"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Accrued expenses</w:t>
            </w:r>
          </w:p>
        </w:tc>
        <w:tc>
          <w:tcPr>
            <w:tcW w:w="1583" w:type="dxa"/>
            <w:tcMar>
              <w:top w:w="0" w:type="dxa"/>
              <w:left w:w="108" w:type="dxa"/>
              <w:bottom w:w="0" w:type="dxa"/>
              <w:right w:w="108" w:type="dxa"/>
            </w:tcMar>
            <w:hideMark/>
          </w:tcPr>
          <w:p w14:paraId="25B7C910" w14:textId="77777777" w:rsidR="006E5C07" w:rsidRPr="006E5C07" w:rsidRDefault="006E5C07" w:rsidP="006E5C07">
            <w:pPr>
              <w:spacing w:after="0" w:line="240" w:lineRule="auto"/>
              <w:jc w:val="right"/>
              <w:rPr>
                <w:rFonts w:ascii="Calibri" w:eastAsia="Times New Roman" w:hAnsi="Calibri" w:cs="Calibri"/>
              </w:rPr>
            </w:pPr>
          </w:p>
        </w:tc>
        <w:tc>
          <w:tcPr>
            <w:tcW w:w="1465" w:type="dxa"/>
            <w:tcMar>
              <w:top w:w="0" w:type="dxa"/>
              <w:left w:w="108" w:type="dxa"/>
              <w:bottom w:w="0" w:type="dxa"/>
              <w:right w:w="108" w:type="dxa"/>
            </w:tcMar>
            <w:hideMark/>
          </w:tcPr>
          <w:p w14:paraId="16A92F6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1,108</w:t>
            </w:r>
          </w:p>
        </w:tc>
        <w:tc>
          <w:tcPr>
            <w:tcW w:w="755" w:type="dxa"/>
            <w:tcMar>
              <w:top w:w="0" w:type="dxa"/>
              <w:left w:w="108" w:type="dxa"/>
              <w:bottom w:w="0" w:type="dxa"/>
              <w:right w:w="108" w:type="dxa"/>
            </w:tcMar>
            <w:hideMark/>
          </w:tcPr>
          <w:p w14:paraId="738B3111" w14:textId="77777777" w:rsidR="006E5C07" w:rsidRPr="006E5C07" w:rsidRDefault="006E5C07" w:rsidP="006E5C07">
            <w:pPr>
              <w:spacing w:after="0" w:line="240" w:lineRule="auto"/>
              <w:jc w:val="right"/>
              <w:rPr>
                <w:rFonts w:ascii="Calibri" w:eastAsia="Times New Roman" w:hAnsi="Calibri" w:cs="Calibri"/>
              </w:rPr>
            </w:pPr>
          </w:p>
        </w:tc>
        <w:tc>
          <w:tcPr>
            <w:tcW w:w="1465" w:type="dxa"/>
            <w:tcMar>
              <w:top w:w="0" w:type="dxa"/>
              <w:left w:w="108" w:type="dxa"/>
              <w:bottom w:w="0" w:type="dxa"/>
              <w:right w:w="108" w:type="dxa"/>
            </w:tcMar>
            <w:hideMark/>
          </w:tcPr>
          <w:p w14:paraId="3DE6460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657</w:t>
            </w:r>
          </w:p>
        </w:tc>
      </w:tr>
      <w:tr w:rsidR="006E5C07" w:rsidRPr="006E5C07" w14:paraId="157F3B90" w14:textId="77777777" w:rsidTr="006E5C07">
        <w:tc>
          <w:tcPr>
            <w:tcW w:w="2678" w:type="dxa"/>
            <w:tcMar>
              <w:top w:w="0" w:type="dxa"/>
              <w:left w:w="108" w:type="dxa"/>
              <w:bottom w:w="0" w:type="dxa"/>
              <w:right w:w="108" w:type="dxa"/>
            </w:tcMar>
            <w:hideMark/>
          </w:tcPr>
          <w:p w14:paraId="71187F1C"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Deferred income</w:t>
            </w:r>
          </w:p>
        </w:tc>
        <w:tc>
          <w:tcPr>
            <w:tcW w:w="1583" w:type="dxa"/>
            <w:tcMar>
              <w:top w:w="0" w:type="dxa"/>
              <w:left w:w="108" w:type="dxa"/>
              <w:bottom w:w="0" w:type="dxa"/>
              <w:right w:w="108" w:type="dxa"/>
            </w:tcMar>
            <w:hideMark/>
          </w:tcPr>
          <w:p w14:paraId="53D15812" w14:textId="77777777" w:rsidR="006E5C07" w:rsidRPr="006E5C07" w:rsidRDefault="006E5C07" w:rsidP="006E5C07">
            <w:pPr>
              <w:spacing w:after="0" w:line="240" w:lineRule="auto"/>
              <w:jc w:val="right"/>
              <w:rPr>
                <w:rFonts w:ascii="Calibri" w:eastAsia="Times New Roman" w:hAnsi="Calibri" w:cs="Calibri"/>
              </w:rPr>
            </w:pPr>
          </w:p>
        </w:tc>
        <w:tc>
          <w:tcPr>
            <w:tcW w:w="1465" w:type="dxa"/>
            <w:tcMar>
              <w:top w:w="0" w:type="dxa"/>
              <w:left w:w="108" w:type="dxa"/>
              <w:bottom w:w="0" w:type="dxa"/>
              <w:right w:w="108" w:type="dxa"/>
            </w:tcMar>
            <w:hideMark/>
          </w:tcPr>
          <w:p w14:paraId="212C90F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727</w:t>
            </w:r>
          </w:p>
        </w:tc>
        <w:tc>
          <w:tcPr>
            <w:tcW w:w="755" w:type="dxa"/>
            <w:tcMar>
              <w:top w:w="0" w:type="dxa"/>
              <w:left w:w="108" w:type="dxa"/>
              <w:bottom w:w="0" w:type="dxa"/>
              <w:right w:w="108" w:type="dxa"/>
            </w:tcMar>
            <w:hideMark/>
          </w:tcPr>
          <w:p w14:paraId="45C2392F" w14:textId="77777777" w:rsidR="006E5C07" w:rsidRPr="006E5C07" w:rsidRDefault="006E5C07" w:rsidP="006E5C07">
            <w:pPr>
              <w:spacing w:after="0" w:line="240" w:lineRule="auto"/>
              <w:jc w:val="right"/>
              <w:rPr>
                <w:rFonts w:ascii="Calibri" w:eastAsia="Times New Roman" w:hAnsi="Calibri" w:cs="Calibri"/>
              </w:rPr>
            </w:pPr>
          </w:p>
        </w:tc>
        <w:tc>
          <w:tcPr>
            <w:tcW w:w="1465" w:type="dxa"/>
            <w:tcMar>
              <w:top w:w="0" w:type="dxa"/>
              <w:left w:w="108" w:type="dxa"/>
              <w:bottom w:w="0" w:type="dxa"/>
              <w:right w:w="108" w:type="dxa"/>
            </w:tcMar>
            <w:hideMark/>
          </w:tcPr>
          <w:p w14:paraId="471897A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1,257</w:t>
            </w:r>
          </w:p>
        </w:tc>
      </w:tr>
      <w:tr w:rsidR="006E5C07" w:rsidRPr="006E5C07" w14:paraId="699DBFE8" w14:textId="77777777" w:rsidTr="006E5C07">
        <w:tc>
          <w:tcPr>
            <w:tcW w:w="2678" w:type="dxa"/>
            <w:tcMar>
              <w:top w:w="0" w:type="dxa"/>
              <w:left w:w="108" w:type="dxa"/>
              <w:bottom w:w="0" w:type="dxa"/>
              <w:right w:w="108" w:type="dxa"/>
            </w:tcMar>
            <w:hideMark/>
          </w:tcPr>
          <w:p w14:paraId="4D1CBEE1"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Trade and other payables</w:t>
            </w:r>
          </w:p>
        </w:tc>
        <w:tc>
          <w:tcPr>
            <w:tcW w:w="1583" w:type="dxa"/>
            <w:tcMar>
              <w:top w:w="0" w:type="dxa"/>
              <w:left w:w="108" w:type="dxa"/>
              <w:bottom w:w="0" w:type="dxa"/>
              <w:right w:w="108" w:type="dxa"/>
            </w:tcMar>
            <w:hideMark/>
          </w:tcPr>
          <w:p w14:paraId="62D3A716" w14:textId="77777777" w:rsidR="006E5C07" w:rsidRPr="006E5C07" w:rsidRDefault="006E5C07" w:rsidP="006E5C07">
            <w:pPr>
              <w:spacing w:after="0" w:line="240" w:lineRule="auto"/>
              <w:jc w:val="right"/>
              <w:rPr>
                <w:rFonts w:ascii="Calibri" w:eastAsia="Times New Roman" w:hAnsi="Calibri" w:cs="Calibri"/>
                <w:b/>
                <w:bCs/>
              </w:rPr>
            </w:pPr>
          </w:p>
        </w:tc>
        <w:tc>
          <w:tcPr>
            <w:tcW w:w="1465" w:type="dxa"/>
            <w:tcBorders>
              <w:top w:val="single" w:sz="8" w:space="0" w:color="auto"/>
              <w:left w:val="nil"/>
              <w:bottom w:val="nil"/>
              <w:right w:val="nil"/>
            </w:tcBorders>
            <w:tcMar>
              <w:top w:w="0" w:type="dxa"/>
              <w:left w:w="108" w:type="dxa"/>
              <w:bottom w:w="0" w:type="dxa"/>
              <w:right w:w="108" w:type="dxa"/>
            </w:tcMar>
            <w:hideMark/>
          </w:tcPr>
          <w:p w14:paraId="6CBDDFAA"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4,222</w:t>
            </w:r>
          </w:p>
        </w:tc>
        <w:tc>
          <w:tcPr>
            <w:tcW w:w="755" w:type="dxa"/>
            <w:tcMar>
              <w:top w:w="0" w:type="dxa"/>
              <w:left w:w="108" w:type="dxa"/>
              <w:bottom w:w="0" w:type="dxa"/>
              <w:right w:w="108" w:type="dxa"/>
            </w:tcMar>
            <w:hideMark/>
          </w:tcPr>
          <w:p w14:paraId="4B3A7372" w14:textId="77777777" w:rsidR="006E5C07" w:rsidRPr="006E5C07" w:rsidRDefault="006E5C07" w:rsidP="006E5C07">
            <w:pPr>
              <w:spacing w:after="0" w:line="240" w:lineRule="auto"/>
              <w:jc w:val="right"/>
              <w:rPr>
                <w:rFonts w:ascii="Calibri" w:eastAsia="Times New Roman" w:hAnsi="Calibri" w:cs="Calibri"/>
                <w:b/>
                <w:bCs/>
              </w:rPr>
            </w:pPr>
          </w:p>
        </w:tc>
        <w:tc>
          <w:tcPr>
            <w:tcW w:w="1465" w:type="dxa"/>
            <w:tcBorders>
              <w:top w:val="single" w:sz="8" w:space="0" w:color="auto"/>
              <w:left w:val="nil"/>
              <w:bottom w:val="nil"/>
              <w:right w:val="nil"/>
            </w:tcBorders>
            <w:tcMar>
              <w:top w:w="0" w:type="dxa"/>
              <w:left w:w="108" w:type="dxa"/>
              <w:bottom w:w="0" w:type="dxa"/>
              <w:right w:w="108" w:type="dxa"/>
            </w:tcMar>
            <w:hideMark/>
          </w:tcPr>
          <w:p w14:paraId="1C6BAB77"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4,231</w:t>
            </w:r>
          </w:p>
        </w:tc>
      </w:tr>
      <w:tr w:rsidR="006E5C07" w:rsidRPr="006E5C07" w14:paraId="2AFC34A6" w14:textId="77777777" w:rsidTr="006E5C07">
        <w:tc>
          <w:tcPr>
            <w:tcW w:w="2678" w:type="dxa"/>
            <w:tcMar>
              <w:top w:w="0" w:type="dxa"/>
              <w:left w:w="108" w:type="dxa"/>
              <w:bottom w:w="0" w:type="dxa"/>
              <w:right w:w="108" w:type="dxa"/>
            </w:tcMar>
            <w:hideMark/>
          </w:tcPr>
          <w:p w14:paraId="63D812A7" w14:textId="77777777" w:rsidR="006E5C07" w:rsidRPr="006E5C07" w:rsidRDefault="006E5C07" w:rsidP="006E5C07">
            <w:pPr>
              <w:spacing w:after="0" w:line="240" w:lineRule="auto"/>
              <w:rPr>
                <w:rFonts w:ascii="Calibri" w:eastAsia="Times New Roman" w:hAnsi="Calibri" w:cs="Calibri"/>
                <w:b/>
                <w:bCs/>
              </w:rPr>
            </w:pPr>
          </w:p>
        </w:tc>
        <w:tc>
          <w:tcPr>
            <w:tcW w:w="1583" w:type="dxa"/>
            <w:tcMar>
              <w:top w:w="0" w:type="dxa"/>
              <w:left w:w="108" w:type="dxa"/>
              <w:bottom w:w="0" w:type="dxa"/>
              <w:right w:w="108" w:type="dxa"/>
            </w:tcMar>
            <w:hideMark/>
          </w:tcPr>
          <w:p w14:paraId="735075AB" w14:textId="77777777" w:rsidR="006E5C07" w:rsidRPr="006E5C07" w:rsidRDefault="006E5C07" w:rsidP="006E5C07">
            <w:pPr>
              <w:spacing w:after="0" w:line="240" w:lineRule="auto"/>
              <w:jc w:val="right"/>
              <w:rPr>
                <w:rFonts w:ascii="Calibri" w:eastAsia="Times New Roman" w:hAnsi="Calibri" w:cs="Calibri"/>
                <w:b/>
                <w:bCs/>
              </w:rPr>
            </w:pPr>
          </w:p>
        </w:tc>
        <w:tc>
          <w:tcPr>
            <w:tcW w:w="1465" w:type="dxa"/>
            <w:tcBorders>
              <w:top w:val="single" w:sz="8" w:space="0" w:color="auto"/>
              <w:left w:val="nil"/>
              <w:bottom w:val="nil"/>
              <w:right w:val="nil"/>
            </w:tcBorders>
            <w:tcMar>
              <w:top w:w="0" w:type="dxa"/>
              <w:left w:w="108" w:type="dxa"/>
              <w:bottom w:w="0" w:type="dxa"/>
              <w:right w:w="108" w:type="dxa"/>
            </w:tcMar>
            <w:hideMark/>
          </w:tcPr>
          <w:p w14:paraId="70BF1BA0" w14:textId="77777777" w:rsidR="006E5C07" w:rsidRPr="006E5C07" w:rsidRDefault="006E5C07" w:rsidP="006E5C07">
            <w:pPr>
              <w:spacing w:after="0" w:line="240" w:lineRule="auto"/>
              <w:jc w:val="right"/>
              <w:rPr>
                <w:rFonts w:ascii="Calibri" w:eastAsia="Times New Roman" w:hAnsi="Calibri" w:cs="Calibri"/>
                <w:b/>
                <w:bCs/>
              </w:rPr>
            </w:pPr>
          </w:p>
        </w:tc>
        <w:tc>
          <w:tcPr>
            <w:tcW w:w="755" w:type="dxa"/>
            <w:tcMar>
              <w:top w:w="0" w:type="dxa"/>
              <w:left w:w="108" w:type="dxa"/>
              <w:bottom w:w="0" w:type="dxa"/>
              <w:right w:w="108" w:type="dxa"/>
            </w:tcMar>
            <w:hideMark/>
          </w:tcPr>
          <w:p w14:paraId="6E93C8BA" w14:textId="77777777" w:rsidR="006E5C07" w:rsidRPr="006E5C07" w:rsidRDefault="006E5C07" w:rsidP="006E5C07">
            <w:pPr>
              <w:spacing w:after="0" w:line="240" w:lineRule="auto"/>
              <w:jc w:val="right"/>
              <w:rPr>
                <w:rFonts w:ascii="Calibri" w:eastAsia="Times New Roman" w:hAnsi="Calibri" w:cs="Calibri"/>
                <w:b/>
                <w:bCs/>
              </w:rPr>
            </w:pPr>
          </w:p>
        </w:tc>
        <w:tc>
          <w:tcPr>
            <w:tcW w:w="1465" w:type="dxa"/>
            <w:tcBorders>
              <w:top w:val="single" w:sz="8" w:space="0" w:color="auto"/>
              <w:left w:val="nil"/>
              <w:bottom w:val="nil"/>
              <w:right w:val="nil"/>
            </w:tcBorders>
            <w:tcMar>
              <w:top w:w="0" w:type="dxa"/>
              <w:left w:w="108" w:type="dxa"/>
              <w:bottom w:w="0" w:type="dxa"/>
              <w:right w:w="108" w:type="dxa"/>
            </w:tcMar>
            <w:hideMark/>
          </w:tcPr>
          <w:p w14:paraId="36886E4C"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584C80F2" w14:textId="77777777" w:rsidTr="006E5C07">
        <w:tc>
          <w:tcPr>
            <w:tcW w:w="2678" w:type="dxa"/>
            <w:tcMar>
              <w:top w:w="0" w:type="dxa"/>
              <w:left w:w="108" w:type="dxa"/>
              <w:bottom w:w="0" w:type="dxa"/>
              <w:right w:w="108" w:type="dxa"/>
            </w:tcMar>
            <w:hideMark/>
          </w:tcPr>
          <w:p w14:paraId="287C9262"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Corporation tax</w:t>
            </w:r>
          </w:p>
        </w:tc>
        <w:tc>
          <w:tcPr>
            <w:tcW w:w="1583" w:type="dxa"/>
            <w:tcMar>
              <w:top w:w="0" w:type="dxa"/>
              <w:left w:w="108" w:type="dxa"/>
              <w:bottom w:w="0" w:type="dxa"/>
              <w:right w:w="108" w:type="dxa"/>
            </w:tcMar>
            <w:hideMark/>
          </w:tcPr>
          <w:p w14:paraId="4E08776B" w14:textId="77777777" w:rsidR="006E5C07" w:rsidRPr="006E5C07" w:rsidRDefault="006E5C07" w:rsidP="006E5C07">
            <w:pPr>
              <w:spacing w:after="0" w:line="240" w:lineRule="auto"/>
              <w:jc w:val="right"/>
              <w:rPr>
                <w:rFonts w:ascii="Calibri" w:eastAsia="Times New Roman" w:hAnsi="Calibri" w:cs="Calibri"/>
              </w:rPr>
            </w:pPr>
          </w:p>
        </w:tc>
        <w:tc>
          <w:tcPr>
            <w:tcW w:w="1465" w:type="dxa"/>
            <w:tcBorders>
              <w:top w:val="nil"/>
              <w:left w:val="nil"/>
              <w:bottom w:val="single" w:sz="8" w:space="0" w:color="auto"/>
              <w:right w:val="nil"/>
            </w:tcBorders>
            <w:tcMar>
              <w:top w:w="0" w:type="dxa"/>
              <w:left w:w="108" w:type="dxa"/>
              <w:bottom w:w="0" w:type="dxa"/>
              <w:right w:w="108" w:type="dxa"/>
            </w:tcMar>
            <w:hideMark/>
          </w:tcPr>
          <w:p w14:paraId="35DA181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55" w:type="dxa"/>
            <w:tcMar>
              <w:top w:w="0" w:type="dxa"/>
              <w:left w:w="108" w:type="dxa"/>
              <w:bottom w:w="0" w:type="dxa"/>
              <w:right w:w="108" w:type="dxa"/>
            </w:tcMar>
            <w:hideMark/>
          </w:tcPr>
          <w:p w14:paraId="0ADB0A7E" w14:textId="77777777" w:rsidR="006E5C07" w:rsidRPr="006E5C07" w:rsidRDefault="006E5C07" w:rsidP="006E5C07">
            <w:pPr>
              <w:spacing w:after="0" w:line="240" w:lineRule="auto"/>
              <w:jc w:val="right"/>
              <w:rPr>
                <w:rFonts w:ascii="Calibri" w:eastAsia="Times New Roman" w:hAnsi="Calibri" w:cs="Calibri"/>
              </w:rPr>
            </w:pPr>
          </w:p>
        </w:tc>
        <w:tc>
          <w:tcPr>
            <w:tcW w:w="1465" w:type="dxa"/>
            <w:tcBorders>
              <w:top w:val="nil"/>
              <w:left w:val="nil"/>
              <w:bottom w:val="single" w:sz="8" w:space="0" w:color="auto"/>
              <w:right w:val="nil"/>
            </w:tcBorders>
            <w:tcMar>
              <w:top w:w="0" w:type="dxa"/>
              <w:left w:w="108" w:type="dxa"/>
              <w:bottom w:w="0" w:type="dxa"/>
              <w:right w:w="108" w:type="dxa"/>
            </w:tcMar>
            <w:hideMark/>
          </w:tcPr>
          <w:p w14:paraId="102E38F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82</w:t>
            </w:r>
          </w:p>
        </w:tc>
      </w:tr>
      <w:tr w:rsidR="006E5C07" w:rsidRPr="006E5C07" w14:paraId="0F2FFEE4" w14:textId="77777777" w:rsidTr="006E5C07">
        <w:tc>
          <w:tcPr>
            <w:tcW w:w="2678" w:type="dxa"/>
            <w:tcMar>
              <w:top w:w="0" w:type="dxa"/>
              <w:left w:w="108" w:type="dxa"/>
              <w:bottom w:w="0" w:type="dxa"/>
              <w:right w:w="108" w:type="dxa"/>
            </w:tcMar>
            <w:hideMark/>
          </w:tcPr>
          <w:p w14:paraId="09FBB19D"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Total</w:t>
            </w:r>
          </w:p>
        </w:tc>
        <w:tc>
          <w:tcPr>
            <w:tcW w:w="1583" w:type="dxa"/>
            <w:tcMar>
              <w:top w:w="0" w:type="dxa"/>
              <w:left w:w="108" w:type="dxa"/>
              <w:bottom w:w="0" w:type="dxa"/>
              <w:right w:w="108" w:type="dxa"/>
            </w:tcMar>
            <w:hideMark/>
          </w:tcPr>
          <w:p w14:paraId="17D98484" w14:textId="77777777" w:rsidR="006E5C07" w:rsidRPr="006E5C07" w:rsidRDefault="006E5C07" w:rsidP="006E5C07">
            <w:pPr>
              <w:spacing w:after="0" w:line="240" w:lineRule="auto"/>
              <w:jc w:val="right"/>
              <w:rPr>
                <w:rFonts w:ascii="Calibri" w:eastAsia="Times New Roman" w:hAnsi="Calibri" w:cs="Calibri"/>
                <w:b/>
                <w:bCs/>
              </w:rPr>
            </w:pPr>
          </w:p>
        </w:tc>
        <w:tc>
          <w:tcPr>
            <w:tcW w:w="1465" w:type="dxa"/>
            <w:tcBorders>
              <w:top w:val="nil"/>
              <w:left w:val="nil"/>
              <w:bottom w:val="double" w:sz="6" w:space="0" w:color="auto"/>
              <w:right w:val="nil"/>
            </w:tcBorders>
            <w:tcMar>
              <w:top w:w="0" w:type="dxa"/>
              <w:left w:w="108" w:type="dxa"/>
              <w:bottom w:w="0" w:type="dxa"/>
              <w:right w:w="108" w:type="dxa"/>
            </w:tcMar>
            <w:hideMark/>
          </w:tcPr>
          <w:p w14:paraId="0EBD8370"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4,222</w:t>
            </w:r>
          </w:p>
        </w:tc>
        <w:tc>
          <w:tcPr>
            <w:tcW w:w="755" w:type="dxa"/>
            <w:tcMar>
              <w:top w:w="0" w:type="dxa"/>
              <w:left w:w="108" w:type="dxa"/>
              <w:bottom w:w="0" w:type="dxa"/>
              <w:right w:w="108" w:type="dxa"/>
            </w:tcMar>
            <w:hideMark/>
          </w:tcPr>
          <w:p w14:paraId="17681E1B" w14:textId="77777777" w:rsidR="006E5C07" w:rsidRPr="006E5C07" w:rsidRDefault="006E5C07" w:rsidP="006E5C07">
            <w:pPr>
              <w:spacing w:after="0" w:line="240" w:lineRule="auto"/>
              <w:jc w:val="right"/>
              <w:rPr>
                <w:rFonts w:ascii="Calibri" w:eastAsia="Times New Roman" w:hAnsi="Calibri" w:cs="Calibri"/>
                <w:b/>
                <w:bCs/>
              </w:rPr>
            </w:pPr>
          </w:p>
        </w:tc>
        <w:tc>
          <w:tcPr>
            <w:tcW w:w="1465" w:type="dxa"/>
            <w:tcBorders>
              <w:top w:val="nil"/>
              <w:left w:val="nil"/>
              <w:bottom w:val="double" w:sz="6" w:space="0" w:color="auto"/>
              <w:right w:val="nil"/>
            </w:tcBorders>
            <w:tcMar>
              <w:top w:w="0" w:type="dxa"/>
              <w:left w:w="108" w:type="dxa"/>
              <w:bottom w:w="0" w:type="dxa"/>
              <w:right w:w="108" w:type="dxa"/>
            </w:tcMar>
            <w:hideMark/>
          </w:tcPr>
          <w:p w14:paraId="1057B10D"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4,313</w:t>
            </w:r>
          </w:p>
        </w:tc>
      </w:tr>
    </w:tbl>
    <w:p w14:paraId="3F522906" w14:textId="77777777" w:rsidR="006E5C07" w:rsidRPr="006E5C07" w:rsidRDefault="006E5C07" w:rsidP="006E5C07">
      <w:pPr>
        <w:spacing w:after="200" w:line="253" w:lineRule="atLeast"/>
        <w:ind w:left="4215"/>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4DFCADDC"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All trade and other payables are short term. The carrying values of trade and other payables are considered to be a reasonable approximation of fair value.</w:t>
      </w:r>
    </w:p>
    <w:p w14:paraId="71A6B33A" w14:textId="77777777" w:rsidR="006E5C07" w:rsidRPr="006E5C07" w:rsidRDefault="006E5C07" w:rsidP="006E5C07">
      <w:pPr>
        <w:spacing w:line="240" w:lineRule="auto"/>
        <w:ind w:hanging="567"/>
        <w:rPr>
          <w:rFonts w:ascii="Calibri" w:eastAsia="Times New Roman" w:hAnsi="Calibri" w:cs="Calibri"/>
          <w:b/>
          <w:bCs/>
          <w:color w:val="16202C"/>
        </w:rPr>
      </w:pPr>
      <w:r w:rsidRPr="006E5C07">
        <w:rPr>
          <w:rFonts w:ascii="Gill Sans MT" w:eastAsia="Times New Roman" w:hAnsi="Gill Sans MT" w:cs="Calibri"/>
          <w:b/>
          <w:bCs/>
          <w:color w:val="16202C"/>
          <w:sz w:val="18"/>
          <w:szCs w:val="18"/>
        </w:rPr>
        <w:t>21.       Other borrowings</w:t>
      </w:r>
    </w:p>
    <w:tbl>
      <w:tblPr>
        <w:tblW w:w="0" w:type="auto"/>
        <w:tblInd w:w="-108" w:type="dxa"/>
        <w:tblCellMar>
          <w:left w:w="0" w:type="dxa"/>
          <w:right w:w="0" w:type="dxa"/>
        </w:tblCellMar>
        <w:tblLook w:val="04A0" w:firstRow="1" w:lastRow="0" w:firstColumn="1" w:lastColumn="0" w:noHBand="0" w:noVBand="1"/>
      </w:tblPr>
      <w:tblGrid>
        <w:gridCol w:w="2678"/>
        <w:gridCol w:w="1583"/>
        <w:gridCol w:w="1465"/>
        <w:gridCol w:w="755"/>
        <w:gridCol w:w="1465"/>
      </w:tblGrid>
      <w:tr w:rsidR="006E5C07" w:rsidRPr="006E5C07" w14:paraId="27AA0A39" w14:textId="77777777" w:rsidTr="006E5C07">
        <w:tc>
          <w:tcPr>
            <w:tcW w:w="2678" w:type="dxa"/>
            <w:tcMar>
              <w:top w:w="0" w:type="dxa"/>
              <w:left w:w="108" w:type="dxa"/>
              <w:bottom w:w="0" w:type="dxa"/>
              <w:right w:w="108" w:type="dxa"/>
            </w:tcMar>
            <w:hideMark/>
          </w:tcPr>
          <w:p w14:paraId="23369DE6" w14:textId="77777777" w:rsidR="006E5C07" w:rsidRPr="006E5C07" w:rsidRDefault="006E5C07" w:rsidP="006E5C07">
            <w:pPr>
              <w:spacing w:after="0" w:line="240" w:lineRule="auto"/>
              <w:rPr>
                <w:rFonts w:ascii="Calibri" w:eastAsia="Times New Roman" w:hAnsi="Calibri" w:cs="Calibri"/>
              </w:rPr>
            </w:pPr>
          </w:p>
        </w:tc>
        <w:tc>
          <w:tcPr>
            <w:tcW w:w="1583" w:type="dxa"/>
            <w:tcMar>
              <w:top w:w="0" w:type="dxa"/>
              <w:left w:w="108" w:type="dxa"/>
              <w:bottom w:w="0" w:type="dxa"/>
              <w:right w:w="108" w:type="dxa"/>
            </w:tcMar>
            <w:hideMark/>
          </w:tcPr>
          <w:p w14:paraId="015454B4"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1B42303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'20</w:t>
            </w:r>
          </w:p>
        </w:tc>
        <w:tc>
          <w:tcPr>
            <w:tcW w:w="755" w:type="dxa"/>
            <w:tcMar>
              <w:top w:w="0" w:type="dxa"/>
              <w:left w:w="108" w:type="dxa"/>
              <w:bottom w:w="0" w:type="dxa"/>
              <w:right w:w="108" w:type="dxa"/>
            </w:tcMar>
            <w:hideMark/>
          </w:tcPr>
          <w:p w14:paraId="553FA77C"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060923A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'19</w:t>
            </w:r>
          </w:p>
        </w:tc>
      </w:tr>
      <w:tr w:rsidR="006E5C07" w:rsidRPr="006E5C07" w14:paraId="3A1FA06A" w14:textId="77777777" w:rsidTr="006E5C07">
        <w:tc>
          <w:tcPr>
            <w:tcW w:w="2678" w:type="dxa"/>
            <w:tcMar>
              <w:top w:w="0" w:type="dxa"/>
              <w:left w:w="108" w:type="dxa"/>
              <w:bottom w:w="0" w:type="dxa"/>
              <w:right w:w="108" w:type="dxa"/>
            </w:tcMar>
            <w:hideMark/>
          </w:tcPr>
          <w:p w14:paraId="415701E7" w14:textId="77777777" w:rsidR="006E5C07" w:rsidRPr="006E5C07" w:rsidRDefault="006E5C07" w:rsidP="006E5C07">
            <w:pPr>
              <w:spacing w:after="0" w:line="240" w:lineRule="auto"/>
              <w:rPr>
                <w:rFonts w:ascii="Calibri" w:eastAsia="Times New Roman" w:hAnsi="Calibri" w:cs="Calibri"/>
              </w:rPr>
            </w:pPr>
          </w:p>
        </w:tc>
        <w:tc>
          <w:tcPr>
            <w:tcW w:w="1583" w:type="dxa"/>
            <w:tcMar>
              <w:top w:w="0" w:type="dxa"/>
              <w:left w:w="108" w:type="dxa"/>
              <w:bottom w:w="0" w:type="dxa"/>
              <w:right w:w="108" w:type="dxa"/>
            </w:tcMar>
            <w:hideMark/>
          </w:tcPr>
          <w:p w14:paraId="41F0C28D"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4C64679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755" w:type="dxa"/>
            <w:tcMar>
              <w:top w:w="0" w:type="dxa"/>
              <w:left w:w="108" w:type="dxa"/>
              <w:bottom w:w="0" w:type="dxa"/>
              <w:right w:w="108" w:type="dxa"/>
            </w:tcMar>
            <w:hideMark/>
          </w:tcPr>
          <w:p w14:paraId="42E64FC3"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188ED21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4DD137FD" w14:textId="77777777" w:rsidTr="006E5C07">
        <w:tc>
          <w:tcPr>
            <w:tcW w:w="2678" w:type="dxa"/>
            <w:tcMar>
              <w:top w:w="0" w:type="dxa"/>
              <w:left w:w="108" w:type="dxa"/>
              <w:bottom w:w="0" w:type="dxa"/>
              <w:right w:w="108" w:type="dxa"/>
            </w:tcMar>
            <w:hideMark/>
          </w:tcPr>
          <w:p w14:paraId="6A59E257" w14:textId="77777777" w:rsidR="006E5C07" w:rsidRPr="006E5C07" w:rsidRDefault="006E5C07" w:rsidP="006E5C07">
            <w:pPr>
              <w:spacing w:after="0" w:line="240" w:lineRule="auto"/>
              <w:rPr>
                <w:rFonts w:ascii="Calibri" w:eastAsia="Times New Roman" w:hAnsi="Calibri" w:cs="Calibri"/>
              </w:rPr>
            </w:pPr>
          </w:p>
        </w:tc>
        <w:tc>
          <w:tcPr>
            <w:tcW w:w="1583" w:type="dxa"/>
            <w:tcMar>
              <w:top w:w="0" w:type="dxa"/>
              <w:left w:w="108" w:type="dxa"/>
              <w:bottom w:w="0" w:type="dxa"/>
              <w:right w:w="108" w:type="dxa"/>
            </w:tcMar>
            <w:hideMark/>
          </w:tcPr>
          <w:p w14:paraId="154D09A9"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47785B01" w14:textId="77777777" w:rsidR="006E5C07" w:rsidRPr="006E5C07" w:rsidRDefault="006E5C07" w:rsidP="006E5C07">
            <w:pPr>
              <w:spacing w:after="0" w:line="240" w:lineRule="auto"/>
              <w:jc w:val="right"/>
              <w:rPr>
                <w:rFonts w:ascii="Calibri" w:eastAsia="Times New Roman" w:hAnsi="Calibri" w:cs="Calibri"/>
              </w:rPr>
            </w:pPr>
          </w:p>
        </w:tc>
        <w:tc>
          <w:tcPr>
            <w:tcW w:w="755" w:type="dxa"/>
            <w:tcMar>
              <w:top w:w="0" w:type="dxa"/>
              <w:left w:w="108" w:type="dxa"/>
              <w:bottom w:w="0" w:type="dxa"/>
              <w:right w:w="108" w:type="dxa"/>
            </w:tcMar>
            <w:hideMark/>
          </w:tcPr>
          <w:p w14:paraId="6F48218F"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3D3C4FE1"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1B8D30F5" w14:textId="77777777" w:rsidTr="006E5C07">
        <w:tc>
          <w:tcPr>
            <w:tcW w:w="2678" w:type="dxa"/>
            <w:tcMar>
              <w:top w:w="0" w:type="dxa"/>
              <w:left w:w="108" w:type="dxa"/>
              <w:bottom w:w="0" w:type="dxa"/>
              <w:right w:w="108" w:type="dxa"/>
            </w:tcMar>
            <w:hideMark/>
          </w:tcPr>
          <w:p w14:paraId="6E5DC929"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Bank loan:</w:t>
            </w:r>
          </w:p>
        </w:tc>
        <w:tc>
          <w:tcPr>
            <w:tcW w:w="1583" w:type="dxa"/>
            <w:tcMar>
              <w:top w:w="0" w:type="dxa"/>
              <w:left w:w="108" w:type="dxa"/>
              <w:bottom w:w="0" w:type="dxa"/>
              <w:right w:w="108" w:type="dxa"/>
            </w:tcMar>
            <w:hideMark/>
          </w:tcPr>
          <w:p w14:paraId="1EFB2B73"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24BE9081" w14:textId="77777777" w:rsidR="006E5C07" w:rsidRPr="006E5C07" w:rsidRDefault="006E5C07" w:rsidP="006E5C07">
            <w:pPr>
              <w:spacing w:after="0" w:line="240" w:lineRule="auto"/>
              <w:jc w:val="right"/>
              <w:rPr>
                <w:rFonts w:ascii="Calibri" w:eastAsia="Times New Roman" w:hAnsi="Calibri" w:cs="Calibri"/>
              </w:rPr>
            </w:pPr>
          </w:p>
        </w:tc>
        <w:tc>
          <w:tcPr>
            <w:tcW w:w="755" w:type="dxa"/>
            <w:tcMar>
              <w:top w:w="0" w:type="dxa"/>
              <w:left w:w="108" w:type="dxa"/>
              <w:bottom w:w="0" w:type="dxa"/>
              <w:right w:w="108" w:type="dxa"/>
            </w:tcMar>
            <w:hideMark/>
          </w:tcPr>
          <w:p w14:paraId="3DBA6168"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3237A3A1"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2C33C292" w14:textId="77777777" w:rsidTr="006E5C07">
        <w:tc>
          <w:tcPr>
            <w:tcW w:w="2678" w:type="dxa"/>
            <w:tcMar>
              <w:top w:w="0" w:type="dxa"/>
              <w:left w:w="108" w:type="dxa"/>
              <w:bottom w:w="0" w:type="dxa"/>
              <w:right w:w="108" w:type="dxa"/>
            </w:tcMar>
            <w:hideMark/>
          </w:tcPr>
          <w:p w14:paraId="129BD5D6"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Less than one year</w:t>
            </w:r>
          </w:p>
        </w:tc>
        <w:tc>
          <w:tcPr>
            <w:tcW w:w="1583" w:type="dxa"/>
            <w:tcMar>
              <w:top w:w="0" w:type="dxa"/>
              <w:left w:w="108" w:type="dxa"/>
              <w:bottom w:w="0" w:type="dxa"/>
              <w:right w:w="108" w:type="dxa"/>
            </w:tcMar>
            <w:hideMark/>
          </w:tcPr>
          <w:p w14:paraId="7F673A5F"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3637413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972</w:t>
            </w:r>
          </w:p>
        </w:tc>
        <w:tc>
          <w:tcPr>
            <w:tcW w:w="755" w:type="dxa"/>
            <w:tcMar>
              <w:top w:w="0" w:type="dxa"/>
              <w:left w:w="108" w:type="dxa"/>
              <w:bottom w:w="0" w:type="dxa"/>
              <w:right w:w="108" w:type="dxa"/>
            </w:tcMar>
            <w:hideMark/>
          </w:tcPr>
          <w:p w14:paraId="00CE2B83"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0067E11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r>
      <w:tr w:rsidR="006E5C07" w:rsidRPr="006E5C07" w14:paraId="7F69C7D1" w14:textId="77777777" w:rsidTr="006E5C07">
        <w:tc>
          <w:tcPr>
            <w:tcW w:w="2678" w:type="dxa"/>
            <w:tcMar>
              <w:top w:w="0" w:type="dxa"/>
              <w:left w:w="108" w:type="dxa"/>
              <w:bottom w:w="0" w:type="dxa"/>
              <w:right w:w="108" w:type="dxa"/>
            </w:tcMar>
            <w:hideMark/>
          </w:tcPr>
          <w:p w14:paraId="58BC2062"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Greater than one year</w:t>
            </w:r>
          </w:p>
        </w:tc>
        <w:tc>
          <w:tcPr>
            <w:tcW w:w="1583" w:type="dxa"/>
            <w:tcMar>
              <w:top w:w="0" w:type="dxa"/>
              <w:left w:w="108" w:type="dxa"/>
              <w:bottom w:w="0" w:type="dxa"/>
              <w:right w:w="108" w:type="dxa"/>
            </w:tcMar>
            <w:hideMark/>
          </w:tcPr>
          <w:p w14:paraId="44332CAA" w14:textId="77777777" w:rsidR="006E5C07" w:rsidRPr="006E5C07" w:rsidRDefault="006E5C07" w:rsidP="006E5C07">
            <w:pPr>
              <w:spacing w:after="0" w:line="240" w:lineRule="auto"/>
              <w:rPr>
                <w:rFonts w:ascii="Calibri" w:eastAsia="Times New Roman" w:hAnsi="Calibri" w:cs="Calibri"/>
              </w:rPr>
            </w:pPr>
          </w:p>
        </w:tc>
        <w:tc>
          <w:tcPr>
            <w:tcW w:w="1465" w:type="dxa"/>
            <w:tcBorders>
              <w:top w:val="nil"/>
              <w:left w:val="nil"/>
              <w:bottom w:val="single" w:sz="8" w:space="0" w:color="auto"/>
              <w:right w:val="nil"/>
            </w:tcBorders>
            <w:tcMar>
              <w:top w:w="0" w:type="dxa"/>
              <w:left w:w="108" w:type="dxa"/>
              <w:bottom w:w="0" w:type="dxa"/>
              <w:right w:w="108" w:type="dxa"/>
            </w:tcMar>
            <w:hideMark/>
          </w:tcPr>
          <w:p w14:paraId="7A45402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778</w:t>
            </w:r>
          </w:p>
        </w:tc>
        <w:tc>
          <w:tcPr>
            <w:tcW w:w="755" w:type="dxa"/>
            <w:tcMar>
              <w:top w:w="0" w:type="dxa"/>
              <w:left w:w="108" w:type="dxa"/>
              <w:bottom w:w="0" w:type="dxa"/>
              <w:right w:w="108" w:type="dxa"/>
            </w:tcMar>
            <w:hideMark/>
          </w:tcPr>
          <w:p w14:paraId="4DBB4CE5" w14:textId="77777777" w:rsidR="006E5C07" w:rsidRPr="006E5C07" w:rsidRDefault="006E5C07" w:rsidP="006E5C07">
            <w:pPr>
              <w:spacing w:after="0" w:line="240" w:lineRule="auto"/>
              <w:rPr>
                <w:rFonts w:ascii="Calibri" w:eastAsia="Times New Roman" w:hAnsi="Calibri" w:cs="Calibri"/>
              </w:rPr>
            </w:pPr>
          </w:p>
        </w:tc>
        <w:tc>
          <w:tcPr>
            <w:tcW w:w="1465" w:type="dxa"/>
            <w:tcBorders>
              <w:top w:val="nil"/>
              <w:left w:val="nil"/>
              <w:bottom w:val="single" w:sz="8" w:space="0" w:color="auto"/>
              <w:right w:val="nil"/>
            </w:tcBorders>
            <w:tcMar>
              <w:top w:w="0" w:type="dxa"/>
              <w:left w:w="108" w:type="dxa"/>
              <w:bottom w:w="0" w:type="dxa"/>
              <w:right w:w="108" w:type="dxa"/>
            </w:tcMar>
            <w:hideMark/>
          </w:tcPr>
          <w:p w14:paraId="2581CB8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750</w:t>
            </w:r>
          </w:p>
        </w:tc>
      </w:tr>
      <w:tr w:rsidR="006E5C07" w:rsidRPr="006E5C07" w14:paraId="644E57D1" w14:textId="77777777" w:rsidTr="006E5C07">
        <w:tc>
          <w:tcPr>
            <w:tcW w:w="2678" w:type="dxa"/>
            <w:tcMar>
              <w:top w:w="0" w:type="dxa"/>
              <w:left w:w="108" w:type="dxa"/>
              <w:bottom w:w="0" w:type="dxa"/>
              <w:right w:w="108" w:type="dxa"/>
            </w:tcMar>
            <w:hideMark/>
          </w:tcPr>
          <w:p w14:paraId="18238B99" w14:textId="77777777" w:rsidR="006E5C07" w:rsidRPr="006E5C07" w:rsidRDefault="006E5C07" w:rsidP="006E5C07">
            <w:pPr>
              <w:spacing w:after="0" w:line="240" w:lineRule="auto"/>
              <w:rPr>
                <w:rFonts w:ascii="Calibri" w:eastAsia="Times New Roman" w:hAnsi="Calibri" w:cs="Calibri"/>
                <w:b/>
                <w:bCs/>
              </w:rPr>
            </w:pPr>
          </w:p>
        </w:tc>
        <w:tc>
          <w:tcPr>
            <w:tcW w:w="1583" w:type="dxa"/>
            <w:tcMar>
              <w:top w:w="0" w:type="dxa"/>
              <w:left w:w="108" w:type="dxa"/>
              <w:bottom w:w="0" w:type="dxa"/>
              <w:right w:w="108" w:type="dxa"/>
            </w:tcMar>
            <w:hideMark/>
          </w:tcPr>
          <w:p w14:paraId="26AF2B00" w14:textId="77777777" w:rsidR="006E5C07" w:rsidRPr="006E5C07" w:rsidRDefault="006E5C07" w:rsidP="006E5C07">
            <w:pPr>
              <w:spacing w:after="0" w:line="240" w:lineRule="auto"/>
              <w:jc w:val="right"/>
              <w:rPr>
                <w:rFonts w:ascii="Calibri" w:eastAsia="Times New Roman" w:hAnsi="Calibri" w:cs="Calibri"/>
                <w:b/>
                <w:bCs/>
              </w:rPr>
            </w:pPr>
          </w:p>
        </w:tc>
        <w:tc>
          <w:tcPr>
            <w:tcW w:w="1465" w:type="dxa"/>
            <w:tcBorders>
              <w:top w:val="nil"/>
              <w:left w:val="nil"/>
              <w:bottom w:val="double" w:sz="6" w:space="0" w:color="auto"/>
              <w:right w:val="nil"/>
            </w:tcBorders>
            <w:tcMar>
              <w:top w:w="0" w:type="dxa"/>
              <w:left w:w="108" w:type="dxa"/>
              <w:bottom w:w="0" w:type="dxa"/>
              <w:right w:w="108" w:type="dxa"/>
            </w:tcMar>
            <w:hideMark/>
          </w:tcPr>
          <w:p w14:paraId="29115E3E"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1,750</w:t>
            </w:r>
          </w:p>
        </w:tc>
        <w:tc>
          <w:tcPr>
            <w:tcW w:w="755" w:type="dxa"/>
            <w:tcMar>
              <w:top w:w="0" w:type="dxa"/>
              <w:left w:w="108" w:type="dxa"/>
              <w:bottom w:w="0" w:type="dxa"/>
              <w:right w:w="108" w:type="dxa"/>
            </w:tcMar>
            <w:hideMark/>
          </w:tcPr>
          <w:p w14:paraId="1A592FB1" w14:textId="77777777" w:rsidR="006E5C07" w:rsidRPr="006E5C07" w:rsidRDefault="006E5C07" w:rsidP="006E5C07">
            <w:pPr>
              <w:spacing w:after="0" w:line="240" w:lineRule="auto"/>
              <w:jc w:val="right"/>
              <w:rPr>
                <w:rFonts w:ascii="Calibri" w:eastAsia="Times New Roman" w:hAnsi="Calibri" w:cs="Calibri"/>
                <w:b/>
                <w:bCs/>
              </w:rPr>
            </w:pPr>
          </w:p>
        </w:tc>
        <w:tc>
          <w:tcPr>
            <w:tcW w:w="1465" w:type="dxa"/>
            <w:tcBorders>
              <w:top w:val="nil"/>
              <w:left w:val="nil"/>
              <w:bottom w:val="double" w:sz="6" w:space="0" w:color="auto"/>
              <w:right w:val="nil"/>
            </w:tcBorders>
            <w:tcMar>
              <w:top w:w="0" w:type="dxa"/>
              <w:left w:w="108" w:type="dxa"/>
              <w:bottom w:w="0" w:type="dxa"/>
              <w:right w:w="108" w:type="dxa"/>
            </w:tcMar>
            <w:hideMark/>
          </w:tcPr>
          <w:p w14:paraId="6A87517F"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750</w:t>
            </w:r>
          </w:p>
        </w:tc>
      </w:tr>
      <w:tr w:rsidR="006E5C07" w:rsidRPr="006E5C07" w14:paraId="131670E3" w14:textId="77777777" w:rsidTr="006E5C07">
        <w:tc>
          <w:tcPr>
            <w:tcW w:w="2678" w:type="dxa"/>
            <w:tcMar>
              <w:top w:w="0" w:type="dxa"/>
              <w:left w:w="108" w:type="dxa"/>
              <w:bottom w:w="0" w:type="dxa"/>
              <w:right w:w="108" w:type="dxa"/>
            </w:tcMar>
            <w:hideMark/>
          </w:tcPr>
          <w:p w14:paraId="2C8BCF3C" w14:textId="77777777" w:rsidR="006E5C07" w:rsidRPr="006E5C07" w:rsidRDefault="006E5C07" w:rsidP="006E5C07">
            <w:pPr>
              <w:spacing w:after="0" w:line="240" w:lineRule="auto"/>
              <w:rPr>
                <w:rFonts w:ascii="Calibri" w:eastAsia="Times New Roman" w:hAnsi="Calibri" w:cs="Calibri"/>
                <w:b/>
                <w:bCs/>
              </w:rPr>
            </w:pPr>
          </w:p>
        </w:tc>
        <w:tc>
          <w:tcPr>
            <w:tcW w:w="1583" w:type="dxa"/>
            <w:tcMar>
              <w:top w:w="0" w:type="dxa"/>
              <w:left w:w="108" w:type="dxa"/>
              <w:bottom w:w="0" w:type="dxa"/>
              <w:right w:w="108" w:type="dxa"/>
            </w:tcMar>
            <w:hideMark/>
          </w:tcPr>
          <w:p w14:paraId="0A99F044" w14:textId="77777777" w:rsidR="006E5C07" w:rsidRPr="006E5C07" w:rsidRDefault="006E5C07" w:rsidP="006E5C07">
            <w:pPr>
              <w:spacing w:after="0" w:line="240" w:lineRule="auto"/>
              <w:jc w:val="right"/>
              <w:rPr>
                <w:rFonts w:ascii="Calibri" w:eastAsia="Times New Roman" w:hAnsi="Calibri" w:cs="Calibri"/>
                <w:b/>
                <w:bCs/>
              </w:rPr>
            </w:pPr>
          </w:p>
        </w:tc>
        <w:tc>
          <w:tcPr>
            <w:tcW w:w="1465" w:type="dxa"/>
            <w:tcBorders>
              <w:top w:val="nil"/>
              <w:left w:val="nil"/>
              <w:bottom w:val="nil"/>
              <w:right w:val="nil"/>
            </w:tcBorders>
            <w:tcMar>
              <w:top w:w="0" w:type="dxa"/>
              <w:left w:w="108" w:type="dxa"/>
              <w:bottom w:w="0" w:type="dxa"/>
              <w:right w:w="108" w:type="dxa"/>
            </w:tcMar>
            <w:hideMark/>
          </w:tcPr>
          <w:p w14:paraId="4EA30E69" w14:textId="77777777" w:rsidR="006E5C07" w:rsidRPr="006E5C07" w:rsidRDefault="006E5C07" w:rsidP="006E5C07">
            <w:pPr>
              <w:spacing w:after="0" w:line="240" w:lineRule="auto"/>
              <w:jc w:val="right"/>
              <w:rPr>
                <w:rFonts w:ascii="Calibri" w:eastAsia="Times New Roman" w:hAnsi="Calibri" w:cs="Calibri"/>
                <w:b/>
                <w:bCs/>
              </w:rPr>
            </w:pPr>
          </w:p>
        </w:tc>
        <w:tc>
          <w:tcPr>
            <w:tcW w:w="755" w:type="dxa"/>
            <w:tcMar>
              <w:top w:w="0" w:type="dxa"/>
              <w:left w:w="108" w:type="dxa"/>
              <w:bottom w:w="0" w:type="dxa"/>
              <w:right w:w="108" w:type="dxa"/>
            </w:tcMar>
            <w:hideMark/>
          </w:tcPr>
          <w:p w14:paraId="606CA457" w14:textId="77777777" w:rsidR="006E5C07" w:rsidRPr="006E5C07" w:rsidRDefault="006E5C07" w:rsidP="006E5C07">
            <w:pPr>
              <w:spacing w:after="0" w:line="240" w:lineRule="auto"/>
              <w:jc w:val="right"/>
              <w:rPr>
                <w:rFonts w:ascii="Calibri" w:eastAsia="Times New Roman" w:hAnsi="Calibri" w:cs="Calibri"/>
                <w:b/>
                <w:bCs/>
              </w:rPr>
            </w:pPr>
          </w:p>
        </w:tc>
        <w:tc>
          <w:tcPr>
            <w:tcW w:w="1465" w:type="dxa"/>
            <w:tcBorders>
              <w:top w:val="nil"/>
              <w:left w:val="nil"/>
              <w:bottom w:val="nil"/>
              <w:right w:val="nil"/>
            </w:tcBorders>
            <w:tcMar>
              <w:top w:w="0" w:type="dxa"/>
              <w:left w:w="108" w:type="dxa"/>
              <w:bottom w:w="0" w:type="dxa"/>
              <w:right w:w="108" w:type="dxa"/>
            </w:tcMar>
            <w:hideMark/>
          </w:tcPr>
          <w:p w14:paraId="42E98169" w14:textId="77777777" w:rsidR="006E5C07" w:rsidRPr="006E5C07" w:rsidRDefault="006E5C07" w:rsidP="006E5C07">
            <w:pPr>
              <w:spacing w:after="0" w:line="240" w:lineRule="auto"/>
              <w:jc w:val="right"/>
              <w:rPr>
                <w:rFonts w:ascii="Calibri" w:eastAsia="Times New Roman" w:hAnsi="Calibri" w:cs="Calibri"/>
                <w:b/>
                <w:bCs/>
              </w:rPr>
            </w:pPr>
          </w:p>
        </w:tc>
      </w:tr>
    </w:tbl>
    <w:p w14:paraId="5EF582D7"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As at 31 December 2020, SpaceandPeople plc had drawn down £0.75 million (2019: £0.75 million) of its agreed bank revolving credit facility of £1.0 million which expires in October 2021. Additionally, a £1.0 million CBILS loan with a term of five years was drawn down as at 31 December 2020 (2019: £nil). SpaceandPeople plc also had a £0.25 million overdraft facility of which £nil was used as at 31 December 2020 (2019: £nil).</w:t>
      </w:r>
    </w:p>
    <w:p w14:paraId="0BA94BCC" w14:textId="77777777" w:rsidR="006E5C07" w:rsidRPr="006E5C07" w:rsidRDefault="006E5C07" w:rsidP="006E5C07">
      <w:pPr>
        <w:spacing w:after="0" w:line="253" w:lineRule="atLeast"/>
        <w:ind w:left="1800" w:hanging="927"/>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22.       Leases</w:t>
      </w:r>
    </w:p>
    <w:p w14:paraId="78CD94D7"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01D4041B" w14:textId="77777777" w:rsidR="006E5C07" w:rsidRPr="006E5C07" w:rsidRDefault="006E5C07" w:rsidP="006E5C07">
      <w:pPr>
        <w:spacing w:after="0" w:line="253" w:lineRule="atLeast"/>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Amounts recognised in the balance sheet:</w:t>
      </w:r>
    </w:p>
    <w:p w14:paraId="3DAE26FF" w14:textId="77777777" w:rsidR="006E5C07" w:rsidRPr="006E5C07" w:rsidRDefault="006E5C07" w:rsidP="006E5C07">
      <w:pPr>
        <w:spacing w:after="0" w:line="253" w:lineRule="atLeast"/>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5D1ADE67" w14:textId="77777777" w:rsidR="006E5C07" w:rsidRPr="006E5C07" w:rsidRDefault="006E5C07" w:rsidP="006E5C07">
      <w:pPr>
        <w:spacing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The balance sheet shows the following amounts relating to leases:</w:t>
      </w:r>
    </w:p>
    <w:tbl>
      <w:tblPr>
        <w:tblW w:w="0" w:type="auto"/>
        <w:tblInd w:w="-108" w:type="dxa"/>
        <w:tblCellMar>
          <w:left w:w="0" w:type="dxa"/>
          <w:right w:w="0" w:type="dxa"/>
        </w:tblCellMar>
        <w:tblLook w:val="04A0" w:firstRow="1" w:lastRow="0" w:firstColumn="1" w:lastColumn="0" w:noHBand="0" w:noVBand="1"/>
      </w:tblPr>
      <w:tblGrid>
        <w:gridCol w:w="2678"/>
        <w:gridCol w:w="1583"/>
        <w:gridCol w:w="1465"/>
        <w:gridCol w:w="755"/>
        <w:gridCol w:w="1465"/>
      </w:tblGrid>
      <w:tr w:rsidR="006E5C07" w:rsidRPr="006E5C07" w14:paraId="40776E3A" w14:textId="77777777" w:rsidTr="006E5C07">
        <w:tc>
          <w:tcPr>
            <w:tcW w:w="2678" w:type="dxa"/>
            <w:tcMar>
              <w:top w:w="0" w:type="dxa"/>
              <w:left w:w="108" w:type="dxa"/>
              <w:bottom w:w="0" w:type="dxa"/>
              <w:right w:w="108" w:type="dxa"/>
            </w:tcMar>
            <w:hideMark/>
          </w:tcPr>
          <w:p w14:paraId="6AD2F71F" w14:textId="77777777" w:rsidR="006E5C07" w:rsidRPr="006E5C07" w:rsidRDefault="006E5C07" w:rsidP="006E5C07">
            <w:pPr>
              <w:spacing w:after="0" w:line="240" w:lineRule="auto"/>
              <w:rPr>
                <w:rFonts w:ascii="Calibri" w:eastAsia="Times New Roman" w:hAnsi="Calibri" w:cs="Calibri"/>
              </w:rPr>
            </w:pPr>
          </w:p>
        </w:tc>
        <w:tc>
          <w:tcPr>
            <w:tcW w:w="1583" w:type="dxa"/>
            <w:tcMar>
              <w:top w:w="0" w:type="dxa"/>
              <w:left w:w="108" w:type="dxa"/>
              <w:bottom w:w="0" w:type="dxa"/>
              <w:right w:w="108" w:type="dxa"/>
            </w:tcMar>
            <w:hideMark/>
          </w:tcPr>
          <w:p w14:paraId="3A5F5B12"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7735904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'20</w:t>
            </w:r>
          </w:p>
        </w:tc>
        <w:tc>
          <w:tcPr>
            <w:tcW w:w="755" w:type="dxa"/>
            <w:tcMar>
              <w:top w:w="0" w:type="dxa"/>
              <w:left w:w="108" w:type="dxa"/>
              <w:bottom w:w="0" w:type="dxa"/>
              <w:right w:w="108" w:type="dxa"/>
            </w:tcMar>
            <w:hideMark/>
          </w:tcPr>
          <w:p w14:paraId="5CED3D0D"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144BF15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'19</w:t>
            </w:r>
          </w:p>
        </w:tc>
      </w:tr>
      <w:tr w:rsidR="006E5C07" w:rsidRPr="006E5C07" w14:paraId="633CBABC" w14:textId="77777777" w:rsidTr="006E5C07">
        <w:tc>
          <w:tcPr>
            <w:tcW w:w="2678" w:type="dxa"/>
            <w:tcMar>
              <w:top w:w="0" w:type="dxa"/>
              <w:left w:w="108" w:type="dxa"/>
              <w:bottom w:w="0" w:type="dxa"/>
              <w:right w:w="108" w:type="dxa"/>
            </w:tcMar>
            <w:hideMark/>
          </w:tcPr>
          <w:p w14:paraId="40CC810F" w14:textId="77777777" w:rsidR="006E5C07" w:rsidRPr="006E5C07" w:rsidRDefault="006E5C07" w:rsidP="006E5C07">
            <w:pPr>
              <w:spacing w:after="0" w:line="240" w:lineRule="auto"/>
              <w:rPr>
                <w:rFonts w:ascii="Calibri" w:eastAsia="Times New Roman" w:hAnsi="Calibri" w:cs="Calibri"/>
              </w:rPr>
            </w:pPr>
          </w:p>
        </w:tc>
        <w:tc>
          <w:tcPr>
            <w:tcW w:w="1583" w:type="dxa"/>
            <w:tcMar>
              <w:top w:w="0" w:type="dxa"/>
              <w:left w:w="108" w:type="dxa"/>
              <w:bottom w:w="0" w:type="dxa"/>
              <w:right w:w="108" w:type="dxa"/>
            </w:tcMar>
            <w:hideMark/>
          </w:tcPr>
          <w:p w14:paraId="007FFC10"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48F59C9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755" w:type="dxa"/>
            <w:tcMar>
              <w:top w:w="0" w:type="dxa"/>
              <w:left w:w="108" w:type="dxa"/>
              <w:bottom w:w="0" w:type="dxa"/>
              <w:right w:w="108" w:type="dxa"/>
            </w:tcMar>
            <w:hideMark/>
          </w:tcPr>
          <w:p w14:paraId="11856890"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4609061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50A7ABE5" w14:textId="77777777" w:rsidTr="006E5C07">
        <w:tc>
          <w:tcPr>
            <w:tcW w:w="2678" w:type="dxa"/>
            <w:tcMar>
              <w:top w:w="0" w:type="dxa"/>
              <w:left w:w="108" w:type="dxa"/>
              <w:bottom w:w="0" w:type="dxa"/>
              <w:right w:w="108" w:type="dxa"/>
            </w:tcMar>
            <w:hideMark/>
          </w:tcPr>
          <w:p w14:paraId="2BD4B895"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Right of use assets</w:t>
            </w:r>
          </w:p>
        </w:tc>
        <w:tc>
          <w:tcPr>
            <w:tcW w:w="1583" w:type="dxa"/>
            <w:tcMar>
              <w:top w:w="0" w:type="dxa"/>
              <w:left w:w="108" w:type="dxa"/>
              <w:bottom w:w="0" w:type="dxa"/>
              <w:right w:w="108" w:type="dxa"/>
            </w:tcMar>
            <w:hideMark/>
          </w:tcPr>
          <w:p w14:paraId="1AB9F064"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6A47F202" w14:textId="77777777" w:rsidR="006E5C07" w:rsidRPr="006E5C07" w:rsidRDefault="006E5C07" w:rsidP="006E5C07">
            <w:pPr>
              <w:spacing w:after="0" w:line="240" w:lineRule="auto"/>
              <w:jc w:val="right"/>
              <w:rPr>
                <w:rFonts w:ascii="Calibri" w:eastAsia="Times New Roman" w:hAnsi="Calibri" w:cs="Calibri"/>
              </w:rPr>
            </w:pPr>
          </w:p>
        </w:tc>
        <w:tc>
          <w:tcPr>
            <w:tcW w:w="755" w:type="dxa"/>
            <w:tcMar>
              <w:top w:w="0" w:type="dxa"/>
              <w:left w:w="108" w:type="dxa"/>
              <w:bottom w:w="0" w:type="dxa"/>
              <w:right w:w="108" w:type="dxa"/>
            </w:tcMar>
            <w:hideMark/>
          </w:tcPr>
          <w:p w14:paraId="651C3414"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0606DF0D"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201603CA" w14:textId="77777777" w:rsidTr="006E5C07">
        <w:tc>
          <w:tcPr>
            <w:tcW w:w="2678" w:type="dxa"/>
            <w:tcMar>
              <w:top w:w="0" w:type="dxa"/>
              <w:left w:w="108" w:type="dxa"/>
              <w:bottom w:w="0" w:type="dxa"/>
              <w:right w:w="108" w:type="dxa"/>
            </w:tcMar>
            <w:hideMark/>
          </w:tcPr>
          <w:p w14:paraId="4B7A568B"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Property</w:t>
            </w:r>
          </w:p>
        </w:tc>
        <w:tc>
          <w:tcPr>
            <w:tcW w:w="1583" w:type="dxa"/>
            <w:tcMar>
              <w:top w:w="0" w:type="dxa"/>
              <w:left w:w="108" w:type="dxa"/>
              <w:bottom w:w="0" w:type="dxa"/>
              <w:right w:w="108" w:type="dxa"/>
            </w:tcMar>
            <w:hideMark/>
          </w:tcPr>
          <w:p w14:paraId="2F56F0FB"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3567A8E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622</w:t>
            </w:r>
          </w:p>
        </w:tc>
        <w:tc>
          <w:tcPr>
            <w:tcW w:w="755" w:type="dxa"/>
            <w:tcMar>
              <w:top w:w="0" w:type="dxa"/>
              <w:left w:w="108" w:type="dxa"/>
              <w:bottom w:w="0" w:type="dxa"/>
              <w:right w:w="108" w:type="dxa"/>
            </w:tcMar>
            <w:hideMark/>
          </w:tcPr>
          <w:p w14:paraId="64C73F9E"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4AE075D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264</w:t>
            </w:r>
          </w:p>
        </w:tc>
      </w:tr>
      <w:tr w:rsidR="006E5C07" w:rsidRPr="006E5C07" w14:paraId="151F6A7E" w14:textId="77777777" w:rsidTr="006E5C07">
        <w:tc>
          <w:tcPr>
            <w:tcW w:w="2678" w:type="dxa"/>
            <w:tcMar>
              <w:top w:w="0" w:type="dxa"/>
              <w:left w:w="108" w:type="dxa"/>
              <w:bottom w:w="0" w:type="dxa"/>
              <w:right w:w="108" w:type="dxa"/>
            </w:tcMar>
            <w:hideMark/>
          </w:tcPr>
          <w:p w14:paraId="079C1CD3"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Plant and equipment</w:t>
            </w:r>
          </w:p>
        </w:tc>
        <w:tc>
          <w:tcPr>
            <w:tcW w:w="1583" w:type="dxa"/>
            <w:tcMar>
              <w:top w:w="0" w:type="dxa"/>
              <w:left w:w="108" w:type="dxa"/>
              <w:bottom w:w="0" w:type="dxa"/>
              <w:right w:w="108" w:type="dxa"/>
            </w:tcMar>
            <w:hideMark/>
          </w:tcPr>
          <w:p w14:paraId="0B0A8639"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2DCBFBB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68</w:t>
            </w:r>
          </w:p>
        </w:tc>
        <w:tc>
          <w:tcPr>
            <w:tcW w:w="755" w:type="dxa"/>
            <w:tcMar>
              <w:top w:w="0" w:type="dxa"/>
              <w:left w:w="108" w:type="dxa"/>
              <w:bottom w:w="0" w:type="dxa"/>
              <w:right w:w="108" w:type="dxa"/>
            </w:tcMar>
            <w:hideMark/>
          </w:tcPr>
          <w:p w14:paraId="05839DFB"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2550502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92</w:t>
            </w:r>
          </w:p>
        </w:tc>
      </w:tr>
      <w:tr w:rsidR="006E5C07" w:rsidRPr="006E5C07" w14:paraId="61384D3D" w14:textId="77777777" w:rsidTr="006E5C07">
        <w:tc>
          <w:tcPr>
            <w:tcW w:w="2678" w:type="dxa"/>
            <w:tcMar>
              <w:top w:w="0" w:type="dxa"/>
              <w:left w:w="108" w:type="dxa"/>
              <w:bottom w:w="0" w:type="dxa"/>
              <w:right w:w="108" w:type="dxa"/>
            </w:tcMar>
            <w:hideMark/>
          </w:tcPr>
          <w:p w14:paraId="71452F73" w14:textId="77777777" w:rsidR="006E5C07" w:rsidRPr="006E5C07" w:rsidRDefault="006E5C07" w:rsidP="006E5C07">
            <w:pPr>
              <w:spacing w:after="0" w:line="240" w:lineRule="auto"/>
              <w:rPr>
                <w:rFonts w:ascii="Calibri" w:eastAsia="Times New Roman" w:hAnsi="Calibri" w:cs="Calibri"/>
                <w:b/>
                <w:bCs/>
              </w:rPr>
            </w:pPr>
          </w:p>
        </w:tc>
        <w:tc>
          <w:tcPr>
            <w:tcW w:w="1583" w:type="dxa"/>
            <w:tcMar>
              <w:top w:w="0" w:type="dxa"/>
              <w:left w:w="108" w:type="dxa"/>
              <w:bottom w:w="0" w:type="dxa"/>
              <w:right w:w="108" w:type="dxa"/>
            </w:tcMar>
            <w:hideMark/>
          </w:tcPr>
          <w:p w14:paraId="063A3A27" w14:textId="77777777" w:rsidR="006E5C07" w:rsidRPr="006E5C07" w:rsidRDefault="006E5C07" w:rsidP="006E5C07">
            <w:pPr>
              <w:spacing w:after="0" w:line="240" w:lineRule="auto"/>
              <w:jc w:val="right"/>
              <w:rPr>
                <w:rFonts w:ascii="Calibri" w:eastAsia="Times New Roman" w:hAnsi="Calibri" w:cs="Calibri"/>
                <w:b/>
                <w:bCs/>
              </w:rPr>
            </w:pPr>
          </w:p>
        </w:tc>
        <w:tc>
          <w:tcPr>
            <w:tcW w:w="1465" w:type="dxa"/>
            <w:tcBorders>
              <w:top w:val="single" w:sz="8" w:space="0" w:color="auto"/>
              <w:left w:val="nil"/>
              <w:bottom w:val="nil"/>
              <w:right w:val="nil"/>
            </w:tcBorders>
            <w:tcMar>
              <w:top w:w="0" w:type="dxa"/>
              <w:left w:w="108" w:type="dxa"/>
              <w:bottom w:w="0" w:type="dxa"/>
              <w:right w:w="108" w:type="dxa"/>
            </w:tcMar>
            <w:hideMark/>
          </w:tcPr>
          <w:p w14:paraId="02D5A8E3"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690</w:t>
            </w:r>
          </w:p>
        </w:tc>
        <w:tc>
          <w:tcPr>
            <w:tcW w:w="755" w:type="dxa"/>
            <w:tcMar>
              <w:top w:w="0" w:type="dxa"/>
              <w:left w:w="108" w:type="dxa"/>
              <w:bottom w:w="0" w:type="dxa"/>
              <w:right w:w="108" w:type="dxa"/>
            </w:tcMar>
            <w:hideMark/>
          </w:tcPr>
          <w:p w14:paraId="59BCC137" w14:textId="77777777" w:rsidR="006E5C07" w:rsidRPr="006E5C07" w:rsidRDefault="006E5C07" w:rsidP="006E5C07">
            <w:pPr>
              <w:spacing w:after="0" w:line="240" w:lineRule="auto"/>
              <w:jc w:val="right"/>
              <w:rPr>
                <w:rFonts w:ascii="Calibri" w:eastAsia="Times New Roman" w:hAnsi="Calibri" w:cs="Calibri"/>
                <w:b/>
                <w:bCs/>
              </w:rPr>
            </w:pPr>
          </w:p>
        </w:tc>
        <w:tc>
          <w:tcPr>
            <w:tcW w:w="1465" w:type="dxa"/>
            <w:tcBorders>
              <w:top w:val="single" w:sz="8" w:space="0" w:color="auto"/>
              <w:left w:val="nil"/>
              <w:bottom w:val="nil"/>
              <w:right w:val="nil"/>
            </w:tcBorders>
            <w:tcMar>
              <w:top w:w="0" w:type="dxa"/>
              <w:left w:w="108" w:type="dxa"/>
              <w:bottom w:w="0" w:type="dxa"/>
              <w:right w:w="108" w:type="dxa"/>
            </w:tcMar>
            <w:hideMark/>
          </w:tcPr>
          <w:p w14:paraId="394D3007"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356</w:t>
            </w:r>
          </w:p>
        </w:tc>
      </w:tr>
      <w:tr w:rsidR="006E5C07" w:rsidRPr="006E5C07" w14:paraId="418C64D8" w14:textId="77777777" w:rsidTr="006E5C07">
        <w:tc>
          <w:tcPr>
            <w:tcW w:w="2678" w:type="dxa"/>
            <w:tcMar>
              <w:top w:w="0" w:type="dxa"/>
              <w:left w:w="108" w:type="dxa"/>
              <w:bottom w:w="0" w:type="dxa"/>
              <w:right w:w="108" w:type="dxa"/>
            </w:tcMar>
            <w:hideMark/>
          </w:tcPr>
          <w:p w14:paraId="47F80F0D" w14:textId="77777777" w:rsidR="006E5C07" w:rsidRPr="006E5C07" w:rsidRDefault="006E5C07" w:rsidP="006E5C07">
            <w:pPr>
              <w:spacing w:after="0" w:line="240" w:lineRule="auto"/>
              <w:rPr>
                <w:rFonts w:ascii="Calibri" w:eastAsia="Times New Roman" w:hAnsi="Calibri" w:cs="Calibri"/>
                <w:b/>
                <w:bCs/>
              </w:rPr>
            </w:pPr>
          </w:p>
        </w:tc>
        <w:tc>
          <w:tcPr>
            <w:tcW w:w="1583" w:type="dxa"/>
            <w:tcMar>
              <w:top w:w="0" w:type="dxa"/>
              <w:left w:w="108" w:type="dxa"/>
              <w:bottom w:w="0" w:type="dxa"/>
              <w:right w:w="108" w:type="dxa"/>
            </w:tcMar>
            <w:hideMark/>
          </w:tcPr>
          <w:p w14:paraId="12664329" w14:textId="77777777" w:rsidR="006E5C07" w:rsidRPr="006E5C07" w:rsidRDefault="006E5C07" w:rsidP="006E5C07">
            <w:pPr>
              <w:spacing w:after="0" w:line="240" w:lineRule="auto"/>
              <w:jc w:val="right"/>
              <w:rPr>
                <w:rFonts w:ascii="Calibri" w:eastAsia="Times New Roman" w:hAnsi="Calibri" w:cs="Calibri"/>
                <w:b/>
                <w:bCs/>
              </w:rPr>
            </w:pPr>
          </w:p>
        </w:tc>
        <w:tc>
          <w:tcPr>
            <w:tcW w:w="1465" w:type="dxa"/>
            <w:tcBorders>
              <w:top w:val="single" w:sz="8" w:space="0" w:color="auto"/>
              <w:left w:val="nil"/>
              <w:bottom w:val="nil"/>
              <w:right w:val="nil"/>
            </w:tcBorders>
            <w:tcMar>
              <w:top w:w="0" w:type="dxa"/>
              <w:left w:w="108" w:type="dxa"/>
              <w:bottom w:w="0" w:type="dxa"/>
              <w:right w:w="108" w:type="dxa"/>
            </w:tcMar>
            <w:hideMark/>
          </w:tcPr>
          <w:p w14:paraId="782B42C6" w14:textId="77777777" w:rsidR="006E5C07" w:rsidRPr="006E5C07" w:rsidRDefault="006E5C07" w:rsidP="006E5C07">
            <w:pPr>
              <w:spacing w:after="0" w:line="240" w:lineRule="auto"/>
              <w:jc w:val="right"/>
              <w:rPr>
                <w:rFonts w:ascii="Calibri" w:eastAsia="Times New Roman" w:hAnsi="Calibri" w:cs="Calibri"/>
                <w:b/>
                <w:bCs/>
              </w:rPr>
            </w:pPr>
          </w:p>
        </w:tc>
        <w:tc>
          <w:tcPr>
            <w:tcW w:w="755" w:type="dxa"/>
            <w:tcMar>
              <w:top w:w="0" w:type="dxa"/>
              <w:left w:w="108" w:type="dxa"/>
              <w:bottom w:w="0" w:type="dxa"/>
              <w:right w:w="108" w:type="dxa"/>
            </w:tcMar>
            <w:hideMark/>
          </w:tcPr>
          <w:p w14:paraId="2EAD9FB1" w14:textId="77777777" w:rsidR="006E5C07" w:rsidRPr="006E5C07" w:rsidRDefault="006E5C07" w:rsidP="006E5C07">
            <w:pPr>
              <w:spacing w:after="0" w:line="240" w:lineRule="auto"/>
              <w:jc w:val="right"/>
              <w:rPr>
                <w:rFonts w:ascii="Calibri" w:eastAsia="Times New Roman" w:hAnsi="Calibri" w:cs="Calibri"/>
                <w:b/>
                <w:bCs/>
              </w:rPr>
            </w:pPr>
          </w:p>
        </w:tc>
        <w:tc>
          <w:tcPr>
            <w:tcW w:w="1465" w:type="dxa"/>
            <w:tcBorders>
              <w:top w:val="single" w:sz="8" w:space="0" w:color="auto"/>
              <w:left w:val="nil"/>
              <w:bottom w:val="nil"/>
              <w:right w:val="nil"/>
            </w:tcBorders>
            <w:tcMar>
              <w:top w:w="0" w:type="dxa"/>
              <w:left w:w="108" w:type="dxa"/>
              <w:bottom w:w="0" w:type="dxa"/>
              <w:right w:w="108" w:type="dxa"/>
            </w:tcMar>
            <w:hideMark/>
          </w:tcPr>
          <w:p w14:paraId="55D40338" w14:textId="77777777" w:rsidR="006E5C07" w:rsidRPr="006E5C07" w:rsidRDefault="006E5C07" w:rsidP="006E5C07">
            <w:pPr>
              <w:spacing w:after="0" w:line="240" w:lineRule="auto"/>
              <w:jc w:val="right"/>
              <w:rPr>
                <w:rFonts w:ascii="Calibri" w:eastAsia="Times New Roman" w:hAnsi="Calibri" w:cs="Calibri"/>
                <w:b/>
                <w:bCs/>
              </w:rPr>
            </w:pPr>
          </w:p>
        </w:tc>
      </w:tr>
      <w:tr w:rsidR="006E5C07" w:rsidRPr="006E5C07" w14:paraId="35125F29" w14:textId="77777777" w:rsidTr="006E5C07">
        <w:tc>
          <w:tcPr>
            <w:tcW w:w="2678" w:type="dxa"/>
            <w:tcMar>
              <w:top w:w="0" w:type="dxa"/>
              <w:left w:w="108" w:type="dxa"/>
              <w:bottom w:w="0" w:type="dxa"/>
              <w:right w:w="108" w:type="dxa"/>
            </w:tcMar>
            <w:hideMark/>
          </w:tcPr>
          <w:p w14:paraId="420582B8"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lastRenderedPageBreak/>
              <w:t>Lease liabilities</w:t>
            </w:r>
          </w:p>
          <w:p w14:paraId="687494EC"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Current</w:t>
            </w:r>
          </w:p>
          <w:p w14:paraId="5B8217E5"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Non-current</w:t>
            </w:r>
          </w:p>
        </w:tc>
        <w:tc>
          <w:tcPr>
            <w:tcW w:w="1583" w:type="dxa"/>
            <w:tcMar>
              <w:top w:w="0" w:type="dxa"/>
              <w:left w:w="108" w:type="dxa"/>
              <w:bottom w:w="0" w:type="dxa"/>
              <w:right w:w="108" w:type="dxa"/>
            </w:tcMar>
            <w:hideMark/>
          </w:tcPr>
          <w:p w14:paraId="28DB9731" w14:textId="77777777" w:rsidR="006E5C07" w:rsidRPr="006E5C07" w:rsidRDefault="006E5C07" w:rsidP="006E5C07">
            <w:pPr>
              <w:spacing w:after="0" w:line="240" w:lineRule="auto"/>
              <w:jc w:val="right"/>
              <w:rPr>
                <w:rFonts w:ascii="Calibri" w:eastAsia="Times New Roman" w:hAnsi="Calibri" w:cs="Calibri"/>
              </w:rPr>
            </w:pPr>
          </w:p>
        </w:tc>
        <w:tc>
          <w:tcPr>
            <w:tcW w:w="1465" w:type="dxa"/>
            <w:tcBorders>
              <w:top w:val="nil"/>
              <w:left w:val="nil"/>
              <w:bottom w:val="single" w:sz="8" w:space="0" w:color="auto"/>
              <w:right w:val="nil"/>
            </w:tcBorders>
            <w:tcMar>
              <w:top w:w="0" w:type="dxa"/>
              <w:left w:w="108" w:type="dxa"/>
              <w:bottom w:w="0" w:type="dxa"/>
              <w:right w:w="108" w:type="dxa"/>
            </w:tcMar>
            <w:hideMark/>
          </w:tcPr>
          <w:p w14:paraId="0B43F4F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49196A1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286</w:t>
            </w:r>
          </w:p>
          <w:p w14:paraId="6F08D83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464</w:t>
            </w:r>
          </w:p>
        </w:tc>
        <w:tc>
          <w:tcPr>
            <w:tcW w:w="755" w:type="dxa"/>
            <w:tcMar>
              <w:top w:w="0" w:type="dxa"/>
              <w:left w:w="108" w:type="dxa"/>
              <w:bottom w:w="0" w:type="dxa"/>
              <w:right w:w="108" w:type="dxa"/>
            </w:tcMar>
            <w:hideMark/>
          </w:tcPr>
          <w:p w14:paraId="415A9ABB" w14:textId="77777777" w:rsidR="006E5C07" w:rsidRPr="006E5C07" w:rsidRDefault="006E5C07" w:rsidP="006E5C07">
            <w:pPr>
              <w:spacing w:after="0" w:line="240" w:lineRule="auto"/>
              <w:jc w:val="right"/>
              <w:rPr>
                <w:rFonts w:ascii="Calibri" w:eastAsia="Times New Roman" w:hAnsi="Calibri" w:cs="Calibri"/>
              </w:rPr>
            </w:pPr>
          </w:p>
        </w:tc>
        <w:tc>
          <w:tcPr>
            <w:tcW w:w="1465" w:type="dxa"/>
            <w:tcBorders>
              <w:top w:val="nil"/>
              <w:left w:val="nil"/>
              <w:bottom w:val="single" w:sz="8" w:space="0" w:color="auto"/>
              <w:right w:val="nil"/>
            </w:tcBorders>
            <w:tcMar>
              <w:top w:w="0" w:type="dxa"/>
              <w:left w:w="108" w:type="dxa"/>
              <w:bottom w:w="0" w:type="dxa"/>
              <w:right w:w="108" w:type="dxa"/>
            </w:tcMar>
            <w:hideMark/>
          </w:tcPr>
          <w:p w14:paraId="4BEEC3F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21E1826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206</w:t>
            </w:r>
          </w:p>
          <w:p w14:paraId="6354537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160</w:t>
            </w:r>
          </w:p>
        </w:tc>
      </w:tr>
      <w:tr w:rsidR="006E5C07" w:rsidRPr="006E5C07" w14:paraId="364F5AF5" w14:textId="77777777" w:rsidTr="006E5C07">
        <w:tc>
          <w:tcPr>
            <w:tcW w:w="2678" w:type="dxa"/>
            <w:tcMar>
              <w:top w:w="0" w:type="dxa"/>
              <w:left w:w="108" w:type="dxa"/>
              <w:bottom w:w="0" w:type="dxa"/>
              <w:right w:w="108" w:type="dxa"/>
            </w:tcMar>
            <w:hideMark/>
          </w:tcPr>
          <w:p w14:paraId="1CD96F74"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Total</w:t>
            </w:r>
          </w:p>
        </w:tc>
        <w:tc>
          <w:tcPr>
            <w:tcW w:w="1583" w:type="dxa"/>
            <w:tcMar>
              <w:top w:w="0" w:type="dxa"/>
              <w:left w:w="108" w:type="dxa"/>
              <w:bottom w:w="0" w:type="dxa"/>
              <w:right w:w="108" w:type="dxa"/>
            </w:tcMar>
            <w:hideMark/>
          </w:tcPr>
          <w:p w14:paraId="5C957A86" w14:textId="77777777" w:rsidR="006E5C07" w:rsidRPr="006E5C07" w:rsidRDefault="006E5C07" w:rsidP="006E5C07">
            <w:pPr>
              <w:spacing w:after="0" w:line="240" w:lineRule="auto"/>
              <w:jc w:val="right"/>
              <w:rPr>
                <w:rFonts w:ascii="Calibri" w:eastAsia="Times New Roman" w:hAnsi="Calibri" w:cs="Calibri"/>
                <w:b/>
                <w:bCs/>
              </w:rPr>
            </w:pPr>
          </w:p>
        </w:tc>
        <w:tc>
          <w:tcPr>
            <w:tcW w:w="1465" w:type="dxa"/>
            <w:tcBorders>
              <w:top w:val="nil"/>
              <w:left w:val="nil"/>
              <w:bottom w:val="double" w:sz="6" w:space="0" w:color="auto"/>
              <w:right w:val="nil"/>
            </w:tcBorders>
            <w:tcMar>
              <w:top w:w="0" w:type="dxa"/>
              <w:left w:w="108" w:type="dxa"/>
              <w:bottom w:w="0" w:type="dxa"/>
              <w:right w:w="108" w:type="dxa"/>
            </w:tcMar>
            <w:hideMark/>
          </w:tcPr>
          <w:p w14:paraId="6D8A4829"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750</w:t>
            </w:r>
          </w:p>
        </w:tc>
        <w:tc>
          <w:tcPr>
            <w:tcW w:w="755" w:type="dxa"/>
            <w:tcMar>
              <w:top w:w="0" w:type="dxa"/>
              <w:left w:w="108" w:type="dxa"/>
              <w:bottom w:w="0" w:type="dxa"/>
              <w:right w:w="108" w:type="dxa"/>
            </w:tcMar>
            <w:hideMark/>
          </w:tcPr>
          <w:p w14:paraId="6CFF32CB" w14:textId="77777777" w:rsidR="006E5C07" w:rsidRPr="006E5C07" w:rsidRDefault="006E5C07" w:rsidP="006E5C07">
            <w:pPr>
              <w:spacing w:after="0" w:line="240" w:lineRule="auto"/>
              <w:jc w:val="right"/>
              <w:rPr>
                <w:rFonts w:ascii="Calibri" w:eastAsia="Times New Roman" w:hAnsi="Calibri" w:cs="Calibri"/>
                <w:b/>
                <w:bCs/>
              </w:rPr>
            </w:pPr>
          </w:p>
        </w:tc>
        <w:tc>
          <w:tcPr>
            <w:tcW w:w="1465" w:type="dxa"/>
            <w:tcBorders>
              <w:top w:val="nil"/>
              <w:left w:val="nil"/>
              <w:bottom w:val="double" w:sz="6" w:space="0" w:color="auto"/>
              <w:right w:val="nil"/>
            </w:tcBorders>
            <w:tcMar>
              <w:top w:w="0" w:type="dxa"/>
              <w:left w:w="108" w:type="dxa"/>
              <w:bottom w:w="0" w:type="dxa"/>
              <w:right w:w="108" w:type="dxa"/>
            </w:tcMar>
            <w:hideMark/>
          </w:tcPr>
          <w:p w14:paraId="154C9726"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366</w:t>
            </w:r>
          </w:p>
        </w:tc>
      </w:tr>
    </w:tbl>
    <w:p w14:paraId="1D612DCA"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34266E7B" w14:textId="77777777" w:rsidR="006E5C07" w:rsidRPr="006E5C07" w:rsidRDefault="006E5C07" w:rsidP="006E5C07">
      <w:pPr>
        <w:spacing w:after="0" w:line="253" w:lineRule="atLeast"/>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Amounts recognised in the statement of profit or loss:</w:t>
      </w:r>
    </w:p>
    <w:p w14:paraId="41694531" w14:textId="77777777" w:rsidR="006E5C07" w:rsidRPr="006E5C07" w:rsidRDefault="006E5C07" w:rsidP="006E5C07">
      <w:pPr>
        <w:spacing w:after="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7E9040D7" w14:textId="77777777" w:rsidR="006E5C07" w:rsidRPr="006E5C07" w:rsidRDefault="006E5C07" w:rsidP="006E5C07">
      <w:pPr>
        <w:spacing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The statement of profit or loss shows the following amounts relating to leases:</w:t>
      </w:r>
    </w:p>
    <w:tbl>
      <w:tblPr>
        <w:tblW w:w="0" w:type="auto"/>
        <w:tblInd w:w="-108" w:type="dxa"/>
        <w:tblCellMar>
          <w:left w:w="0" w:type="dxa"/>
          <w:right w:w="0" w:type="dxa"/>
        </w:tblCellMar>
        <w:tblLook w:val="04A0" w:firstRow="1" w:lastRow="0" w:firstColumn="1" w:lastColumn="0" w:noHBand="0" w:noVBand="1"/>
      </w:tblPr>
      <w:tblGrid>
        <w:gridCol w:w="3612"/>
        <w:gridCol w:w="649"/>
        <w:gridCol w:w="1465"/>
        <w:gridCol w:w="755"/>
        <w:gridCol w:w="1465"/>
      </w:tblGrid>
      <w:tr w:rsidR="006E5C07" w:rsidRPr="006E5C07" w14:paraId="13DEC57F" w14:textId="77777777" w:rsidTr="006E5C07">
        <w:tc>
          <w:tcPr>
            <w:tcW w:w="3612" w:type="dxa"/>
            <w:tcMar>
              <w:top w:w="0" w:type="dxa"/>
              <w:left w:w="108" w:type="dxa"/>
              <w:bottom w:w="0" w:type="dxa"/>
              <w:right w:w="108" w:type="dxa"/>
            </w:tcMar>
            <w:hideMark/>
          </w:tcPr>
          <w:p w14:paraId="7F14625A" w14:textId="77777777" w:rsidR="006E5C07" w:rsidRPr="006E5C07" w:rsidRDefault="006E5C07" w:rsidP="006E5C07">
            <w:pPr>
              <w:spacing w:after="0" w:line="240" w:lineRule="auto"/>
              <w:rPr>
                <w:rFonts w:ascii="Calibri" w:eastAsia="Times New Roman" w:hAnsi="Calibri" w:cs="Calibri"/>
              </w:rPr>
            </w:pPr>
          </w:p>
        </w:tc>
        <w:tc>
          <w:tcPr>
            <w:tcW w:w="649" w:type="dxa"/>
            <w:tcMar>
              <w:top w:w="0" w:type="dxa"/>
              <w:left w:w="108" w:type="dxa"/>
              <w:bottom w:w="0" w:type="dxa"/>
              <w:right w:w="108" w:type="dxa"/>
            </w:tcMar>
            <w:hideMark/>
          </w:tcPr>
          <w:p w14:paraId="4C0E066A"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5118E3C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 December '20</w:t>
            </w:r>
          </w:p>
        </w:tc>
        <w:tc>
          <w:tcPr>
            <w:tcW w:w="755" w:type="dxa"/>
            <w:tcMar>
              <w:top w:w="0" w:type="dxa"/>
              <w:left w:w="108" w:type="dxa"/>
              <w:bottom w:w="0" w:type="dxa"/>
              <w:right w:w="108" w:type="dxa"/>
            </w:tcMar>
            <w:hideMark/>
          </w:tcPr>
          <w:p w14:paraId="42E63562"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149ADB6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  December '19</w:t>
            </w:r>
          </w:p>
        </w:tc>
      </w:tr>
      <w:tr w:rsidR="006E5C07" w:rsidRPr="006E5C07" w14:paraId="6472504B" w14:textId="77777777" w:rsidTr="006E5C07">
        <w:tc>
          <w:tcPr>
            <w:tcW w:w="3612" w:type="dxa"/>
            <w:tcMar>
              <w:top w:w="0" w:type="dxa"/>
              <w:left w:w="108" w:type="dxa"/>
              <w:bottom w:w="0" w:type="dxa"/>
              <w:right w:w="108" w:type="dxa"/>
            </w:tcMar>
            <w:hideMark/>
          </w:tcPr>
          <w:p w14:paraId="644B67E2" w14:textId="77777777" w:rsidR="006E5C07" w:rsidRPr="006E5C07" w:rsidRDefault="006E5C07" w:rsidP="006E5C07">
            <w:pPr>
              <w:spacing w:after="0" w:line="240" w:lineRule="auto"/>
              <w:rPr>
                <w:rFonts w:ascii="Calibri" w:eastAsia="Times New Roman" w:hAnsi="Calibri" w:cs="Calibri"/>
              </w:rPr>
            </w:pPr>
          </w:p>
        </w:tc>
        <w:tc>
          <w:tcPr>
            <w:tcW w:w="649" w:type="dxa"/>
            <w:tcMar>
              <w:top w:w="0" w:type="dxa"/>
              <w:left w:w="108" w:type="dxa"/>
              <w:bottom w:w="0" w:type="dxa"/>
              <w:right w:w="108" w:type="dxa"/>
            </w:tcMar>
            <w:hideMark/>
          </w:tcPr>
          <w:p w14:paraId="3BDD45A2"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32C52D5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755" w:type="dxa"/>
            <w:tcMar>
              <w:top w:w="0" w:type="dxa"/>
              <w:left w:w="108" w:type="dxa"/>
              <w:bottom w:w="0" w:type="dxa"/>
              <w:right w:w="108" w:type="dxa"/>
            </w:tcMar>
            <w:hideMark/>
          </w:tcPr>
          <w:p w14:paraId="51696C79"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5473403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2CBDC66C" w14:textId="77777777" w:rsidTr="006E5C07">
        <w:tc>
          <w:tcPr>
            <w:tcW w:w="3612" w:type="dxa"/>
            <w:tcMar>
              <w:top w:w="0" w:type="dxa"/>
              <w:left w:w="108" w:type="dxa"/>
              <w:bottom w:w="0" w:type="dxa"/>
              <w:right w:w="108" w:type="dxa"/>
            </w:tcMar>
            <w:hideMark/>
          </w:tcPr>
          <w:p w14:paraId="107F4BCE"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Depreciation charge of right of use assets</w:t>
            </w:r>
          </w:p>
        </w:tc>
        <w:tc>
          <w:tcPr>
            <w:tcW w:w="649" w:type="dxa"/>
            <w:tcMar>
              <w:top w:w="0" w:type="dxa"/>
              <w:left w:w="108" w:type="dxa"/>
              <w:bottom w:w="0" w:type="dxa"/>
              <w:right w:w="108" w:type="dxa"/>
            </w:tcMar>
            <w:hideMark/>
          </w:tcPr>
          <w:p w14:paraId="7E8BC94A"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53B62992" w14:textId="77777777" w:rsidR="006E5C07" w:rsidRPr="006E5C07" w:rsidRDefault="006E5C07" w:rsidP="006E5C07">
            <w:pPr>
              <w:spacing w:after="0" w:line="240" w:lineRule="auto"/>
              <w:jc w:val="right"/>
              <w:rPr>
                <w:rFonts w:ascii="Calibri" w:eastAsia="Times New Roman" w:hAnsi="Calibri" w:cs="Calibri"/>
              </w:rPr>
            </w:pPr>
          </w:p>
        </w:tc>
        <w:tc>
          <w:tcPr>
            <w:tcW w:w="755" w:type="dxa"/>
            <w:tcMar>
              <w:top w:w="0" w:type="dxa"/>
              <w:left w:w="108" w:type="dxa"/>
              <w:bottom w:w="0" w:type="dxa"/>
              <w:right w:w="108" w:type="dxa"/>
            </w:tcMar>
            <w:hideMark/>
          </w:tcPr>
          <w:p w14:paraId="0E65B277"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6E7C2C56"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717809B2" w14:textId="77777777" w:rsidTr="006E5C07">
        <w:tc>
          <w:tcPr>
            <w:tcW w:w="3612" w:type="dxa"/>
            <w:tcMar>
              <w:top w:w="0" w:type="dxa"/>
              <w:left w:w="108" w:type="dxa"/>
              <w:bottom w:w="0" w:type="dxa"/>
              <w:right w:w="108" w:type="dxa"/>
            </w:tcMar>
            <w:hideMark/>
          </w:tcPr>
          <w:p w14:paraId="0771D55C"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Property</w:t>
            </w:r>
          </w:p>
        </w:tc>
        <w:tc>
          <w:tcPr>
            <w:tcW w:w="649" w:type="dxa"/>
            <w:tcMar>
              <w:top w:w="0" w:type="dxa"/>
              <w:left w:w="108" w:type="dxa"/>
              <w:bottom w:w="0" w:type="dxa"/>
              <w:right w:w="108" w:type="dxa"/>
            </w:tcMar>
            <w:hideMark/>
          </w:tcPr>
          <w:p w14:paraId="3512DFC6"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301F6EF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209</w:t>
            </w:r>
          </w:p>
        </w:tc>
        <w:tc>
          <w:tcPr>
            <w:tcW w:w="755" w:type="dxa"/>
            <w:tcMar>
              <w:top w:w="0" w:type="dxa"/>
              <w:left w:w="108" w:type="dxa"/>
              <w:bottom w:w="0" w:type="dxa"/>
              <w:right w:w="108" w:type="dxa"/>
            </w:tcMar>
            <w:hideMark/>
          </w:tcPr>
          <w:p w14:paraId="40F1EBBA"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1BED162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156</w:t>
            </w:r>
          </w:p>
        </w:tc>
      </w:tr>
      <w:tr w:rsidR="006E5C07" w:rsidRPr="006E5C07" w14:paraId="0F3628B3" w14:textId="77777777" w:rsidTr="006E5C07">
        <w:tc>
          <w:tcPr>
            <w:tcW w:w="3612" w:type="dxa"/>
            <w:tcMar>
              <w:top w:w="0" w:type="dxa"/>
              <w:left w:w="108" w:type="dxa"/>
              <w:bottom w:w="0" w:type="dxa"/>
              <w:right w:w="108" w:type="dxa"/>
            </w:tcMar>
            <w:hideMark/>
          </w:tcPr>
          <w:p w14:paraId="2518D399"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Plant and equipment</w:t>
            </w:r>
          </w:p>
        </w:tc>
        <w:tc>
          <w:tcPr>
            <w:tcW w:w="649" w:type="dxa"/>
            <w:tcMar>
              <w:top w:w="0" w:type="dxa"/>
              <w:left w:w="108" w:type="dxa"/>
              <w:bottom w:w="0" w:type="dxa"/>
              <w:right w:w="108" w:type="dxa"/>
            </w:tcMar>
            <w:hideMark/>
          </w:tcPr>
          <w:p w14:paraId="447A57A5"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24811E3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54</w:t>
            </w:r>
          </w:p>
        </w:tc>
        <w:tc>
          <w:tcPr>
            <w:tcW w:w="755" w:type="dxa"/>
            <w:tcMar>
              <w:top w:w="0" w:type="dxa"/>
              <w:left w:w="108" w:type="dxa"/>
              <w:bottom w:w="0" w:type="dxa"/>
              <w:right w:w="108" w:type="dxa"/>
            </w:tcMar>
            <w:hideMark/>
          </w:tcPr>
          <w:p w14:paraId="08713CEA" w14:textId="77777777" w:rsidR="006E5C07" w:rsidRPr="006E5C07" w:rsidRDefault="006E5C07" w:rsidP="006E5C07">
            <w:pPr>
              <w:spacing w:after="0" w:line="240" w:lineRule="auto"/>
              <w:rPr>
                <w:rFonts w:ascii="Calibri" w:eastAsia="Times New Roman" w:hAnsi="Calibri" w:cs="Calibri"/>
              </w:rPr>
            </w:pPr>
          </w:p>
        </w:tc>
        <w:tc>
          <w:tcPr>
            <w:tcW w:w="1465" w:type="dxa"/>
            <w:tcMar>
              <w:top w:w="0" w:type="dxa"/>
              <w:left w:w="108" w:type="dxa"/>
              <w:bottom w:w="0" w:type="dxa"/>
              <w:right w:w="108" w:type="dxa"/>
            </w:tcMar>
            <w:hideMark/>
          </w:tcPr>
          <w:p w14:paraId="7B3A861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45</w:t>
            </w:r>
          </w:p>
        </w:tc>
      </w:tr>
      <w:tr w:rsidR="006E5C07" w:rsidRPr="006E5C07" w14:paraId="2937AA2D" w14:textId="77777777" w:rsidTr="006E5C07">
        <w:tc>
          <w:tcPr>
            <w:tcW w:w="3612" w:type="dxa"/>
            <w:tcMar>
              <w:top w:w="0" w:type="dxa"/>
              <w:left w:w="108" w:type="dxa"/>
              <w:bottom w:w="0" w:type="dxa"/>
              <w:right w:w="108" w:type="dxa"/>
            </w:tcMar>
            <w:hideMark/>
          </w:tcPr>
          <w:p w14:paraId="2BC40B82" w14:textId="77777777" w:rsidR="006E5C07" w:rsidRPr="006E5C07" w:rsidRDefault="006E5C07" w:rsidP="006E5C07">
            <w:pPr>
              <w:spacing w:after="0" w:line="240" w:lineRule="auto"/>
              <w:rPr>
                <w:rFonts w:ascii="Calibri" w:eastAsia="Times New Roman" w:hAnsi="Calibri" w:cs="Calibri"/>
                <w:b/>
                <w:bCs/>
              </w:rPr>
            </w:pPr>
          </w:p>
        </w:tc>
        <w:tc>
          <w:tcPr>
            <w:tcW w:w="649" w:type="dxa"/>
            <w:tcMar>
              <w:top w:w="0" w:type="dxa"/>
              <w:left w:w="108" w:type="dxa"/>
              <w:bottom w:w="0" w:type="dxa"/>
              <w:right w:w="108" w:type="dxa"/>
            </w:tcMar>
            <w:hideMark/>
          </w:tcPr>
          <w:p w14:paraId="1AFA41B6" w14:textId="77777777" w:rsidR="006E5C07" w:rsidRPr="006E5C07" w:rsidRDefault="006E5C07" w:rsidP="006E5C07">
            <w:pPr>
              <w:spacing w:after="0" w:line="240" w:lineRule="auto"/>
              <w:jc w:val="right"/>
              <w:rPr>
                <w:rFonts w:ascii="Calibri" w:eastAsia="Times New Roman" w:hAnsi="Calibri" w:cs="Calibri"/>
                <w:b/>
                <w:bCs/>
              </w:rPr>
            </w:pPr>
          </w:p>
        </w:tc>
        <w:tc>
          <w:tcPr>
            <w:tcW w:w="1465" w:type="dxa"/>
            <w:tcBorders>
              <w:top w:val="single" w:sz="8" w:space="0" w:color="auto"/>
              <w:left w:val="nil"/>
              <w:bottom w:val="nil"/>
              <w:right w:val="nil"/>
            </w:tcBorders>
            <w:tcMar>
              <w:top w:w="0" w:type="dxa"/>
              <w:left w:w="108" w:type="dxa"/>
              <w:bottom w:w="0" w:type="dxa"/>
              <w:right w:w="108" w:type="dxa"/>
            </w:tcMar>
            <w:hideMark/>
          </w:tcPr>
          <w:p w14:paraId="0DB7A189"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263</w:t>
            </w:r>
          </w:p>
        </w:tc>
        <w:tc>
          <w:tcPr>
            <w:tcW w:w="755" w:type="dxa"/>
            <w:tcMar>
              <w:top w:w="0" w:type="dxa"/>
              <w:left w:w="108" w:type="dxa"/>
              <w:bottom w:w="0" w:type="dxa"/>
              <w:right w:w="108" w:type="dxa"/>
            </w:tcMar>
            <w:hideMark/>
          </w:tcPr>
          <w:p w14:paraId="58BCC402" w14:textId="77777777" w:rsidR="006E5C07" w:rsidRPr="006E5C07" w:rsidRDefault="006E5C07" w:rsidP="006E5C07">
            <w:pPr>
              <w:spacing w:after="0" w:line="240" w:lineRule="auto"/>
              <w:jc w:val="right"/>
              <w:rPr>
                <w:rFonts w:ascii="Calibri" w:eastAsia="Times New Roman" w:hAnsi="Calibri" w:cs="Calibri"/>
                <w:b/>
                <w:bCs/>
              </w:rPr>
            </w:pPr>
          </w:p>
        </w:tc>
        <w:tc>
          <w:tcPr>
            <w:tcW w:w="1465" w:type="dxa"/>
            <w:tcBorders>
              <w:top w:val="single" w:sz="8" w:space="0" w:color="auto"/>
              <w:left w:val="nil"/>
              <w:bottom w:val="nil"/>
              <w:right w:val="nil"/>
            </w:tcBorders>
            <w:tcMar>
              <w:top w:w="0" w:type="dxa"/>
              <w:left w:w="108" w:type="dxa"/>
              <w:bottom w:w="0" w:type="dxa"/>
              <w:right w:w="108" w:type="dxa"/>
            </w:tcMar>
            <w:hideMark/>
          </w:tcPr>
          <w:p w14:paraId="5CB86641"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201</w:t>
            </w:r>
          </w:p>
        </w:tc>
      </w:tr>
      <w:tr w:rsidR="006E5C07" w:rsidRPr="006E5C07" w14:paraId="180FBA4F" w14:textId="77777777" w:rsidTr="006E5C07">
        <w:tc>
          <w:tcPr>
            <w:tcW w:w="3612" w:type="dxa"/>
            <w:tcMar>
              <w:top w:w="0" w:type="dxa"/>
              <w:left w:w="108" w:type="dxa"/>
              <w:bottom w:w="0" w:type="dxa"/>
              <w:right w:w="108" w:type="dxa"/>
            </w:tcMar>
            <w:hideMark/>
          </w:tcPr>
          <w:p w14:paraId="57883CAA" w14:textId="77777777" w:rsidR="006E5C07" w:rsidRPr="006E5C07" w:rsidRDefault="006E5C07" w:rsidP="006E5C07">
            <w:pPr>
              <w:spacing w:after="0" w:line="240" w:lineRule="auto"/>
              <w:rPr>
                <w:rFonts w:ascii="Calibri" w:eastAsia="Times New Roman" w:hAnsi="Calibri" w:cs="Calibri"/>
                <w:b/>
                <w:bCs/>
              </w:rPr>
            </w:pPr>
          </w:p>
        </w:tc>
        <w:tc>
          <w:tcPr>
            <w:tcW w:w="649" w:type="dxa"/>
            <w:tcMar>
              <w:top w:w="0" w:type="dxa"/>
              <w:left w:w="108" w:type="dxa"/>
              <w:bottom w:w="0" w:type="dxa"/>
              <w:right w:w="108" w:type="dxa"/>
            </w:tcMar>
            <w:hideMark/>
          </w:tcPr>
          <w:p w14:paraId="208C2811" w14:textId="77777777" w:rsidR="006E5C07" w:rsidRPr="006E5C07" w:rsidRDefault="006E5C07" w:rsidP="006E5C07">
            <w:pPr>
              <w:spacing w:after="0" w:line="240" w:lineRule="auto"/>
              <w:jc w:val="right"/>
              <w:rPr>
                <w:rFonts w:ascii="Calibri" w:eastAsia="Times New Roman" w:hAnsi="Calibri" w:cs="Calibri"/>
                <w:b/>
                <w:bCs/>
              </w:rPr>
            </w:pPr>
          </w:p>
        </w:tc>
        <w:tc>
          <w:tcPr>
            <w:tcW w:w="1465" w:type="dxa"/>
            <w:tcBorders>
              <w:top w:val="single" w:sz="8" w:space="0" w:color="auto"/>
              <w:left w:val="nil"/>
              <w:bottom w:val="nil"/>
              <w:right w:val="nil"/>
            </w:tcBorders>
            <w:tcMar>
              <w:top w:w="0" w:type="dxa"/>
              <w:left w:w="108" w:type="dxa"/>
              <w:bottom w:w="0" w:type="dxa"/>
              <w:right w:w="108" w:type="dxa"/>
            </w:tcMar>
            <w:hideMark/>
          </w:tcPr>
          <w:p w14:paraId="3BE9D3A4" w14:textId="77777777" w:rsidR="006E5C07" w:rsidRPr="006E5C07" w:rsidRDefault="006E5C07" w:rsidP="006E5C07">
            <w:pPr>
              <w:spacing w:after="0" w:line="240" w:lineRule="auto"/>
              <w:jc w:val="right"/>
              <w:rPr>
                <w:rFonts w:ascii="Calibri" w:eastAsia="Times New Roman" w:hAnsi="Calibri" w:cs="Calibri"/>
                <w:b/>
                <w:bCs/>
              </w:rPr>
            </w:pPr>
          </w:p>
        </w:tc>
        <w:tc>
          <w:tcPr>
            <w:tcW w:w="755" w:type="dxa"/>
            <w:tcMar>
              <w:top w:w="0" w:type="dxa"/>
              <w:left w:w="108" w:type="dxa"/>
              <w:bottom w:w="0" w:type="dxa"/>
              <w:right w:w="108" w:type="dxa"/>
            </w:tcMar>
            <w:hideMark/>
          </w:tcPr>
          <w:p w14:paraId="14690EA7" w14:textId="77777777" w:rsidR="006E5C07" w:rsidRPr="006E5C07" w:rsidRDefault="006E5C07" w:rsidP="006E5C07">
            <w:pPr>
              <w:spacing w:after="0" w:line="240" w:lineRule="auto"/>
              <w:jc w:val="right"/>
              <w:rPr>
                <w:rFonts w:ascii="Calibri" w:eastAsia="Times New Roman" w:hAnsi="Calibri" w:cs="Calibri"/>
                <w:b/>
                <w:bCs/>
              </w:rPr>
            </w:pPr>
          </w:p>
        </w:tc>
        <w:tc>
          <w:tcPr>
            <w:tcW w:w="1465" w:type="dxa"/>
            <w:tcBorders>
              <w:top w:val="single" w:sz="8" w:space="0" w:color="auto"/>
              <w:left w:val="nil"/>
              <w:bottom w:val="nil"/>
              <w:right w:val="nil"/>
            </w:tcBorders>
            <w:tcMar>
              <w:top w:w="0" w:type="dxa"/>
              <w:left w:w="108" w:type="dxa"/>
              <w:bottom w:w="0" w:type="dxa"/>
              <w:right w:w="108" w:type="dxa"/>
            </w:tcMar>
            <w:hideMark/>
          </w:tcPr>
          <w:p w14:paraId="1D63C881" w14:textId="77777777" w:rsidR="006E5C07" w:rsidRPr="006E5C07" w:rsidRDefault="006E5C07" w:rsidP="006E5C07">
            <w:pPr>
              <w:spacing w:after="0" w:line="240" w:lineRule="auto"/>
              <w:jc w:val="right"/>
              <w:rPr>
                <w:rFonts w:ascii="Calibri" w:eastAsia="Times New Roman" w:hAnsi="Calibri" w:cs="Calibri"/>
                <w:b/>
                <w:bCs/>
              </w:rPr>
            </w:pPr>
          </w:p>
        </w:tc>
      </w:tr>
    </w:tbl>
    <w:p w14:paraId="2E6B1A14" w14:textId="77777777" w:rsidR="006E5C07" w:rsidRPr="006E5C07" w:rsidRDefault="006E5C07" w:rsidP="006E5C07">
      <w:pPr>
        <w:spacing w:before="240" w:line="240" w:lineRule="auto"/>
        <w:jc w:val="both"/>
        <w:rPr>
          <w:rFonts w:ascii="Calibri" w:eastAsia="Times New Roman" w:hAnsi="Calibri" w:cs="Calibri"/>
          <w:color w:val="16202C"/>
        </w:rPr>
      </w:pPr>
      <w:r w:rsidRPr="006E5C07">
        <w:rPr>
          <w:rFonts w:ascii="Gill Sans MT" w:eastAsia="Times New Roman" w:hAnsi="Gill Sans MT" w:cs="Calibri"/>
          <w:color w:val="000000"/>
          <w:sz w:val="18"/>
          <w:szCs w:val="18"/>
        </w:rPr>
        <w:t>Below is a reconciliation of changes in liabilities arising from financing activities:</w:t>
      </w:r>
    </w:p>
    <w:tbl>
      <w:tblPr>
        <w:tblW w:w="9072" w:type="dxa"/>
        <w:tblInd w:w="-108" w:type="dxa"/>
        <w:tblCellMar>
          <w:left w:w="0" w:type="dxa"/>
          <w:right w:w="0" w:type="dxa"/>
        </w:tblCellMar>
        <w:tblLook w:val="04A0" w:firstRow="1" w:lastRow="0" w:firstColumn="1" w:lastColumn="0" w:noHBand="0" w:noVBand="1"/>
      </w:tblPr>
      <w:tblGrid>
        <w:gridCol w:w="3883"/>
        <w:gridCol w:w="905"/>
        <w:gridCol w:w="1071"/>
        <w:gridCol w:w="907"/>
        <w:gridCol w:w="905"/>
        <w:gridCol w:w="1401"/>
      </w:tblGrid>
      <w:tr w:rsidR="006E5C07" w:rsidRPr="006E5C07" w14:paraId="2E6AD41F" w14:textId="77777777" w:rsidTr="006E5C07">
        <w:tc>
          <w:tcPr>
            <w:tcW w:w="3328" w:type="dxa"/>
            <w:tcMar>
              <w:top w:w="0" w:type="dxa"/>
              <w:left w:w="108" w:type="dxa"/>
              <w:bottom w:w="0" w:type="dxa"/>
              <w:right w:w="108" w:type="dxa"/>
            </w:tcMar>
            <w:hideMark/>
          </w:tcPr>
          <w:p w14:paraId="5DD43FA4" w14:textId="77777777" w:rsidR="006E5C07" w:rsidRPr="006E5C07" w:rsidRDefault="006E5C07" w:rsidP="006E5C07">
            <w:pPr>
              <w:spacing w:after="0" w:line="240" w:lineRule="auto"/>
              <w:rPr>
                <w:rFonts w:ascii="Calibri" w:eastAsia="Times New Roman" w:hAnsi="Calibri" w:cs="Calibri"/>
              </w:rPr>
            </w:pPr>
          </w:p>
        </w:tc>
        <w:tc>
          <w:tcPr>
            <w:tcW w:w="776" w:type="dxa"/>
            <w:tcMar>
              <w:top w:w="0" w:type="dxa"/>
              <w:left w:w="108" w:type="dxa"/>
              <w:bottom w:w="0" w:type="dxa"/>
              <w:right w:w="108" w:type="dxa"/>
            </w:tcMar>
            <w:hideMark/>
          </w:tcPr>
          <w:p w14:paraId="329A504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 January</w:t>
            </w:r>
          </w:p>
          <w:p w14:paraId="65062AC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2020</w:t>
            </w:r>
          </w:p>
        </w:tc>
        <w:tc>
          <w:tcPr>
            <w:tcW w:w="918" w:type="dxa"/>
            <w:tcMar>
              <w:top w:w="0" w:type="dxa"/>
              <w:left w:w="108" w:type="dxa"/>
              <w:bottom w:w="0" w:type="dxa"/>
              <w:right w:w="108" w:type="dxa"/>
            </w:tcMar>
            <w:hideMark/>
          </w:tcPr>
          <w:p w14:paraId="38A4DC1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Cash</w:t>
            </w:r>
          </w:p>
          <w:p w14:paraId="279CC54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flows</w:t>
            </w:r>
          </w:p>
        </w:tc>
        <w:tc>
          <w:tcPr>
            <w:tcW w:w="777" w:type="dxa"/>
            <w:tcMar>
              <w:top w:w="0" w:type="dxa"/>
              <w:left w:w="108" w:type="dxa"/>
              <w:bottom w:w="0" w:type="dxa"/>
              <w:right w:w="108" w:type="dxa"/>
            </w:tcMar>
            <w:hideMark/>
          </w:tcPr>
          <w:p w14:paraId="4449545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New</w:t>
            </w:r>
          </w:p>
          <w:p w14:paraId="4C34764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Leases</w:t>
            </w:r>
          </w:p>
        </w:tc>
        <w:tc>
          <w:tcPr>
            <w:tcW w:w="776" w:type="dxa"/>
            <w:tcMar>
              <w:top w:w="0" w:type="dxa"/>
              <w:left w:w="108" w:type="dxa"/>
              <w:bottom w:w="0" w:type="dxa"/>
              <w:right w:w="108" w:type="dxa"/>
            </w:tcMar>
            <w:hideMark/>
          </w:tcPr>
          <w:p w14:paraId="13A9526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Other</w:t>
            </w:r>
          </w:p>
        </w:tc>
        <w:tc>
          <w:tcPr>
            <w:tcW w:w="1201" w:type="dxa"/>
            <w:tcMar>
              <w:top w:w="0" w:type="dxa"/>
              <w:left w:w="108" w:type="dxa"/>
              <w:bottom w:w="0" w:type="dxa"/>
              <w:right w:w="108" w:type="dxa"/>
            </w:tcMar>
            <w:hideMark/>
          </w:tcPr>
          <w:p w14:paraId="61CA715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2020</w:t>
            </w:r>
          </w:p>
        </w:tc>
      </w:tr>
      <w:tr w:rsidR="006E5C07" w:rsidRPr="006E5C07" w14:paraId="3D0A29B7" w14:textId="77777777" w:rsidTr="006E5C07">
        <w:tc>
          <w:tcPr>
            <w:tcW w:w="3328" w:type="dxa"/>
            <w:tcMar>
              <w:top w:w="0" w:type="dxa"/>
              <w:left w:w="108" w:type="dxa"/>
              <w:bottom w:w="0" w:type="dxa"/>
              <w:right w:w="108" w:type="dxa"/>
            </w:tcMar>
            <w:hideMark/>
          </w:tcPr>
          <w:p w14:paraId="535887F8" w14:textId="77777777" w:rsidR="006E5C07" w:rsidRPr="006E5C07" w:rsidRDefault="006E5C07" w:rsidP="006E5C07">
            <w:pPr>
              <w:spacing w:after="0" w:line="240" w:lineRule="auto"/>
              <w:rPr>
                <w:rFonts w:ascii="Calibri" w:eastAsia="Times New Roman" w:hAnsi="Calibri" w:cs="Calibri"/>
              </w:rPr>
            </w:pPr>
          </w:p>
        </w:tc>
        <w:tc>
          <w:tcPr>
            <w:tcW w:w="776" w:type="dxa"/>
            <w:tcMar>
              <w:top w:w="0" w:type="dxa"/>
              <w:left w:w="108" w:type="dxa"/>
              <w:bottom w:w="0" w:type="dxa"/>
              <w:right w:w="108" w:type="dxa"/>
            </w:tcMar>
            <w:hideMark/>
          </w:tcPr>
          <w:p w14:paraId="066525B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918" w:type="dxa"/>
            <w:tcMar>
              <w:top w:w="0" w:type="dxa"/>
              <w:left w:w="108" w:type="dxa"/>
              <w:bottom w:w="0" w:type="dxa"/>
              <w:right w:w="108" w:type="dxa"/>
            </w:tcMar>
            <w:hideMark/>
          </w:tcPr>
          <w:p w14:paraId="7164912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777" w:type="dxa"/>
            <w:tcMar>
              <w:top w:w="0" w:type="dxa"/>
              <w:left w:w="108" w:type="dxa"/>
              <w:bottom w:w="0" w:type="dxa"/>
              <w:right w:w="108" w:type="dxa"/>
            </w:tcMar>
            <w:hideMark/>
          </w:tcPr>
          <w:p w14:paraId="3A22784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776" w:type="dxa"/>
            <w:tcMar>
              <w:top w:w="0" w:type="dxa"/>
              <w:left w:w="108" w:type="dxa"/>
              <w:bottom w:w="0" w:type="dxa"/>
              <w:right w:w="108" w:type="dxa"/>
            </w:tcMar>
            <w:hideMark/>
          </w:tcPr>
          <w:p w14:paraId="576D7BF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1201" w:type="dxa"/>
            <w:tcMar>
              <w:top w:w="0" w:type="dxa"/>
              <w:left w:w="108" w:type="dxa"/>
              <w:bottom w:w="0" w:type="dxa"/>
              <w:right w:w="108" w:type="dxa"/>
            </w:tcMar>
            <w:hideMark/>
          </w:tcPr>
          <w:p w14:paraId="1E3A48D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338AE601" w14:textId="77777777" w:rsidTr="006E5C07">
        <w:tc>
          <w:tcPr>
            <w:tcW w:w="3328" w:type="dxa"/>
            <w:tcMar>
              <w:top w:w="0" w:type="dxa"/>
              <w:left w:w="108" w:type="dxa"/>
              <w:bottom w:w="0" w:type="dxa"/>
              <w:right w:w="108" w:type="dxa"/>
            </w:tcMar>
            <w:hideMark/>
          </w:tcPr>
          <w:p w14:paraId="49EF2CBE" w14:textId="77777777" w:rsidR="006E5C07" w:rsidRPr="006E5C07" w:rsidRDefault="006E5C07" w:rsidP="006E5C07">
            <w:pPr>
              <w:spacing w:after="0" w:line="240" w:lineRule="auto"/>
              <w:rPr>
                <w:rFonts w:ascii="Calibri" w:eastAsia="Times New Roman" w:hAnsi="Calibri" w:cs="Calibri"/>
              </w:rPr>
            </w:pPr>
          </w:p>
        </w:tc>
        <w:tc>
          <w:tcPr>
            <w:tcW w:w="776" w:type="dxa"/>
            <w:tcMar>
              <w:top w:w="0" w:type="dxa"/>
              <w:left w:w="108" w:type="dxa"/>
              <w:bottom w:w="0" w:type="dxa"/>
              <w:right w:w="108" w:type="dxa"/>
            </w:tcMar>
            <w:hideMark/>
          </w:tcPr>
          <w:p w14:paraId="77945800" w14:textId="77777777" w:rsidR="006E5C07" w:rsidRPr="006E5C07" w:rsidRDefault="006E5C07" w:rsidP="006E5C07">
            <w:pPr>
              <w:spacing w:after="0" w:line="240" w:lineRule="auto"/>
              <w:jc w:val="right"/>
              <w:rPr>
                <w:rFonts w:ascii="Calibri" w:eastAsia="Times New Roman" w:hAnsi="Calibri" w:cs="Calibri"/>
              </w:rPr>
            </w:pPr>
          </w:p>
        </w:tc>
        <w:tc>
          <w:tcPr>
            <w:tcW w:w="918" w:type="dxa"/>
            <w:tcMar>
              <w:top w:w="0" w:type="dxa"/>
              <w:left w:w="108" w:type="dxa"/>
              <w:bottom w:w="0" w:type="dxa"/>
              <w:right w:w="108" w:type="dxa"/>
            </w:tcMar>
            <w:hideMark/>
          </w:tcPr>
          <w:p w14:paraId="1100F62F" w14:textId="77777777" w:rsidR="006E5C07" w:rsidRPr="006E5C07" w:rsidRDefault="006E5C07" w:rsidP="006E5C07">
            <w:pPr>
              <w:spacing w:after="0" w:line="240" w:lineRule="auto"/>
              <w:jc w:val="right"/>
              <w:rPr>
                <w:rFonts w:ascii="Calibri" w:eastAsia="Times New Roman" w:hAnsi="Calibri" w:cs="Calibri"/>
              </w:rPr>
            </w:pPr>
          </w:p>
        </w:tc>
        <w:tc>
          <w:tcPr>
            <w:tcW w:w="777" w:type="dxa"/>
            <w:tcMar>
              <w:top w:w="0" w:type="dxa"/>
              <w:left w:w="108" w:type="dxa"/>
              <w:bottom w:w="0" w:type="dxa"/>
              <w:right w:w="108" w:type="dxa"/>
            </w:tcMar>
            <w:hideMark/>
          </w:tcPr>
          <w:p w14:paraId="6CF1180D" w14:textId="77777777" w:rsidR="006E5C07" w:rsidRPr="006E5C07" w:rsidRDefault="006E5C07" w:rsidP="006E5C07">
            <w:pPr>
              <w:spacing w:after="0" w:line="240" w:lineRule="auto"/>
              <w:jc w:val="right"/>
              <w:rPr>
                <w:rFonts w:ascii="Calibri" w:eastAsia="Times New Roman" w:hAnsi="Calibri" w:cs="Calibri"/>
              </w:rPr>
            </w:pPr>
          </w:p>
        </w:tc>
        <w:tc>
          <w:tcPr>
            <w:tcW w:w="776" w:type="dxa"/>
            <w:tcMar>
              <w:top w:w="0" w:type="dxa"/>
              <w:left w:w="108" w:type="dxa"/>
              <w:bottom w:w="0" w:type="dxa"/>
              <w:right w:w="108" w:type="dxa"/>
            </w:tcMar>
            <w:hideMark/>
          </w:tcPr>
          <w:p w14:paraId="7834A6A7" w14:textId="77777777" w:rsidR="006E5C07" w:rsidRPr="006E5C07" w:rsidRDefault="006E5C07" w:rsidP="006E5C07">
            <w:pPr>
              <w:spacing w:after="0" w:line="240" w:lineRule="auto"/>
              <w:jc w:val="right"/>
              <w:rPr>
                <w:rFonts w:ascii="Calibri" w:eastAsia="Times New Roman" w:hAnsi="Calibri" w:cs="Calibri"/>
              </w:rPr>
            </w:pPr>
          </w:p>
        </w:tc>
        <w:tc>
          <w:tcPr>
            <w:tcW w:w="1201" w:type="dxa"/>
            <w:tcMar>
              <w:top w:w="0" w:type="dxa"/>
              <w:left w:w="108" w:type="dxa"/>
              <w:bottom w:w="0" w:type="dxa"/>
              <w:right w:w="108" w:type="dxa"/>
            </w:tcMar>
            <w:hideMark/>
          </w:tcPr>
          <w:p w14:paraId="16EA3F4B"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7E079B63" w14:textId="77777777" w:rsidTr="006E5C07">
        <w:tc>
          <w:tcPr>
            <w:tcW w:w="3328" w:type="dxa"/>
            <w:tcMar>
              <w:top w:w="0" w:type="dxa"/>
              <w:left w:w="108" w:type="dxa"/>
              <w:bottom w:w="0" w:type="dxa"/>
              <w:right w:w="108" w:type="dxa"/>
            </w:tcMar>
            <w:hideMark/>
          </w:tcPr>
          <w:p w14:paraId="72A69252"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Current lease liabilities</w:t>
            </w:r>
          </w:p>
        </w:tc>
        <w:tc>
          <w:tcPr>
            <w:tcW w:w="776" w:type="dxa"/>
            <w:tcMar>
              <w:top w:w="0" w:type="dxa"/>
              <w:left w:w="108" w:type="dxa"/>
              <w:bottom w:w="0" w:type="dxa"/>
              <w:right w:w="108" w:type="dxa"/>
            </w:tcMar>
            <w:hideMark/>
          </w:tcPr>
          <w:p w14:paraId="7B484B7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206</w:t>
            </w:r>
          </w:p>
        </w:tc>
        <w:tc>
          <w:tcPr>
            <w:tcW w:w="918" w:type="dxa"/>
            <w:tcMar>
              <w:top w:w="0" w:type="dxa"/>
              <w:left w:w="108" w:type="dxa"/>
              <w:bottom w:w="0" w:type="dxa"/>
              <w:right w:w="108" w:type="dxa"/>
            </w:tcMar>
            <w:hideMark/>
          </w:tcPr>
          <w:p w14:paraId="1F8357C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(267)</w:t>
            </w:r>
          </w:p>
        </w:tc>
        <w:tc>
          <w:tcPr>
            <w:tcW w:w="777" w:type="dxa"/>
            <w:tcMar>
              <w:top w:w="0" w:type="dxa"/>
              <w:left w:w="108" w:type="dxa"/>
              <w:bottom w:w="0" w:type="dxa"/>
              <w:right w:w="108" w:type="dxa"/>
            </w:tcMar>
            <w:hideMark/>
          </w:tcPr>
          <w:p w14:paraId="0CCABDB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122</w:t>
            </w:r>
          </w:p>
        </w:tc>
        <w:tc>
          <w:tcPr>
            <w:tcW w:w="776" w:type="dxa"/>
            <w:tcMar>
              <w:top w:w="0" w:type="dxa"/>
              <w:left w:w="108" w:type="dxa"/>
              <w:bottom w:w="0" w:type="dxa"/>
              <w:right w:w="108" w:type="dxa"/>
            </w:tcMar>
            <w:hideMark/>
          </w:tcPr>
          <w:p w14:paraId="58DCE23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225</w:t>
            </w:r>
          </w:p>
        </w:tc>
        <w:tc>
          <w:tcPr>
            <w:tcW w:w="1201" w:type="dxa"/>
            <w:tcMar>
              <w:top w:w="0" w:type="dxa"/>
              <w:left w:w="108" w:type="dxa"/>
              <w:bottom w:w="0" w:type="dxa"/>
              <w:right w:w="108" w:type="dxa"/>
            </w:tcMar>
            <w:hideMark/>
          </w:tcPr>
          <w:p w14:paraId="2CDEE51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286</w:t>
            </w:r>
          </w:p>
        </w:tc>
      </w:tr>
      <w:tr w:rsidR="006E5C07" w:rsidRPr="006E5C07" w14:paraId="0D435B6E" w14:textId="77777777" w:rsidTr="006E5C07">
        <w:tc>
          <w:tcPr>
            <w:tcW w:w="3328" w:type="dxa"/>
            <w:tcMar>
              <w:top w:w="0" w:type="dxa"/>
              <w:left w:w="108" w:type="dxa"/>
              <w:bottom w:w="0" w:type="dxa"/>
              <w:right w:w="108" w:type="dxa"/>
            </w:tcMar>
            <w:hideMark/>
          </w:tcPr>
          <w:p w14:paraId="04E124B9"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Non-current lease liabilities</w:t>
            </w:r>
          </w:p>
        </w:tc>
        <w:tc>
          <w:tcPr>
            <w:tcW w:w="776" w:type="dxa"/>
            <w:tcBorders>
              <w:top w:val="nil"/>
              <w:left w:val="nil"/>
              <w:bottom w:val="single" w:sz="8" w:space="0" w:color="auto"/>
              <w:right w:val="nil"/>
            </w:tcBorders>
            <w:tcMar>
              <w:top w:w="0" w:type="dxa"/>
              <w:left w:w="108" w:type="dxa"/>
              <w:bottom w:w="0" w:type="dxa"/>
              <w:right w:w="108" w:type="dxa"/>
            </w:tcMar>
            <w:hideMark/>
          </w:tcPr>
          <w:p w14:paraId="4C4A752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160</w:t>
            </w:r>
          </w:p>
        </w:tc>
        <w:tc>
          <w:tcPr>
            <w:tcW w:w="918" w:type="dxa"/>
            <w:tcBorders>
              <w:top w:val="nil"/>
              <w:left w:val="nil"/>
              <w:bottom w:val="single" w:sz="8" w:space="0" w:color="auto"/>
              <w:right w:val="nil"/>
            </w:tcBorders>
            <w:tcMar>
              <w:top w:w="0" w:type="dxa"/>
              <w:left w:w="108" w:type="dxa"/>
              <w:bottom w:w="0" w:type="dxa"/>
              <w:right w:w="108" w:type="dxa"/>
            </w:tcMar>
            <w:hideMark/>
          </w:tcPr>
          <w:p w14:paraId="5F7CDF2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777" w:type="dxa"/>
            <w:tcBorders>
              <w:top w:val="nil"/>
              <w:left w:val="nil"/>
              <w:bottom w:val="single" w:sz="8" w:space="0" w:color="auto"/>
              <w:right w:val="nil"/>
            </w:tcBorders>
            <w:tcMar>
              <w:top w:w="0" w:type="dxa"/>
              <w:left w:w="108" w:type="dxa"/>
              <w:bottom w:w="0" w:type="dxa"/>
              <w:right w:w="108" w:type="dxa"/>
            </w:tcMar>
            <w:hideMark/>
          </w:tcPr>
          <w:p w14:paraId="548A161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477</w:t>
            </w:r>
          </w:p>
        </w:tc>
        <w:tc>
          <w:tcPr>
            <w:tcW w:w="776" w:type="dxa"/>
            <w:tcBorders>
              <w:top w:val="nil"/>
              <w:left w:val="nil"/>
              <w:bottom w:val="single" w:sz="8" w:space="0" w:color="auto"/>
              <w:right w:val="nil"/>
            </w:tcBorders>
            <w:tcMar>
              <w:top w:w="0" w:type="dxa"/>
              <w:left w:w="108" w:type="dxa"/>
              <w:bottom w:w="0" w:type="dxa"/>
              <w:right w:w="108" w:type="dxa"/>
            </w:tcMar>
            <w:hideMark/>
          </w:tcPr>
          <w:p w14:paraId="507F37C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(173)</w:t>
            </w:r>
          </w:p>
        </w:tc>
        <w:tc>
          <w:tcPr>
            <w:tcW w:w="1201" w:type="dxa"/>
            <w:tcBorders>
              <w:top w:val="nil"/>
              <w:left w:val="nil"/>
              <w:bottom w:val="single" w:sz="8" w:space="0" w:color="auto"/>
              <w:right w:val="nil"/>
            </w:tcBorders>
            <w:tcMar>
              <w:top w:w="0" w:type="dxa"/>
              <w:left w:w="108" w:type="dxa"/>
              <w:bottom w:w="0" w:type="dxa"/>
              <w:right w:w="108" w:type="dxa"/>
            </w:tcMar>
            <w:hideMark/>
          </w:tcPr>
          <w:p w14:paraId="3B8C37B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464</w:t>
            </w:r>
          </w:p>
        </w:tc>
      </w:tr>
      <w:tr w:rsidR="006E5C07" w:rsidRPr="006E5C07" w14:paraId="2853B55B" w14:textId="77777777" w:rsidTr="006E5C07">
        <w:tc>
          <w:tcPr>
            <w:tcW w:w="3328" w:type="dxa"/>
            <w:tcMar>
              <w:top w:w="0" w:type="dxa"/>
              <w:left w:w="108" w:type="dxa"/>
              <w:bottom w:w="0" w:type="dxa"/>
              <w:right w:w="108" w:type="dxa"/>
            </w:tcMar>
            <w:hideMark/>
          </w:tcPr>
          <w:p w14:paraId="6C17318C"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Total liabilities from financing activities</w:t>
            </w:r>
          </w:p>
        </w:tc>
        <w:tc>
          <w:tcPr>
            <w:tcW w:w="776" w:type="dxa"/>
            <w:tcBorders>
              <w:top w:val="nil"/>
              <w:left w:val="nil"/>
              <w:bottom w:val="double" w:sz="6" w:space="0" w:color="auto"/>
              <w:right w:val="nil"/>
            </w:tcBorders>
            <w:tcMar>
              <w:top w:w="0" w:type="dxa"/>
              <w:left w:w="108" w:type="dxa"/>
              <w:bottom w:w="0" w:type="dxa"/>
              <w:right w:w="108" w:type="dxa"/>
            </w:tcMar>
            <w:hideMark/>
          </w:tcPr>
          <w:p w14:paraId="50D4B69A"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366</w:t>
            </w:r>
          </w:p>
        </w:tc>
        <w:tc>
          <w:tcPr>
            <w:tcW w:w="918" w:type="dxa"/>
            <w:tcBorders>
              <w:top w:val="nil"/>
              <w:left w:val="nil"/>
              <w:bottom w:val="double" w:sz="6" w:space="0" w:color="auto"/>
              <w:right w:val="nil"/>
            </w:tcBorders>
            <w:tcMar>
              <w:top w:w="0" w:type="dxa"/>
              <w:left w:w="108" w:type="dxa"/>
              <w:bottom w:w="0" w:type="dxa"/>
              <w:right w:w="108" w:type="dxa"/>
            </w:tcMar>
            <w:hideMark/>
          </w:tcPr>
          <w:p w14:paraId="0B6E1DC5"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(267)</w:t>
            </w:r>
          </w:p>
        </w:tc>
        <w:tc>
          <w:tcPr>
            <w:tcW w:w="777" w:type="dxa"/>
            <w:tcBorders>
              <w:top w:val="nil"/>
              <w:left w:val="nil"/>
              <w:bottom w:val="double" w:sz="6" w:space="0" w:color="auto"/>
              <w:right w:val="nil"/>
            </w:tcBorders>
            <w:tcMar>
              <w:top w:w="0" w:type="dxa"/>
              <w:left w:w="108" w:type="dxa"/>
              <w:bottom w:w="0" w:type="dxa"/>
              <w:right w:w="108" w:type="dxa"/>
            </w:tcMar>
            <w:hideMark/>
          </w:tcPr>
          <w:p w14:paraId="1A78D0A8"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599</w:t>
            </w:r>
          </w:p>
        </w:tc>
        <w:tc>
          <w:tcPr>
            <w:tcW w:w="776" w:type="dxa"/>
            <w:tcBorders>
              <w:top w:val="nil"/>
              <w:left w:val="nil"/>
              <w:bottom w:val="double" w:sz="6" w:space="0" w:color="auto"/>
              <w:right w:val="nil"/>
            </w:tcBorders>
            <w:tcMar>
              <w:top w:w="0" w:type="dxa"/>
              <w:left w:w="108" w:type="dxa"/>
              <w:bottom w:w="0" w:type="dxa"/>
              <w:right w:w="108" w:type="dxa"/>
            </w:tcMar>
            <w:hideMark/>
          </w:tcPr>
          <w:p w14:paraId="27E97874"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52</w:t>
            </w:r>
          </w:p>
        </w:tc>
        <w:tc>
          <w:tcPr>
            <w:tcW w:w="1201" w:type="dxa"/>
            <w:tcBorders>
              <w:top w:val="nil"/>
              <w:left w:val="nil"/>
              <w:bottom w:val="double" w:sz="6" w:space="0" w:color="auto"/>
              <w:right w:val="nil"/>
            </w:tcBorders>
            <w:tcMar>
              <w:top w:w="0" w:type="dxa"/>
              <w:left w:w="108" w:type="dxa"/>
              <w:bottom w:w="0" w:type="dxa"/>
              <w:right w:w="108" w:type="dxa"/>
            </w:tcMar>
            <w:hideMark/>
          </w:tcPr>
          <w:p w14:paraId="42BEAF31" w14:textId="77777777" w:rsidR="006E5C07" w:rsidRPr="006E5C07" w:rsidRDefault="006E5C07" w:rsidP="006E5C07">
            <w:pPr>
              <w:spacing w:after="0" w:line="240" w:lineRule="auto"/>
              <w:jc w:val="right"/>
              <w:rPr>
                <w:rFonts w:ascii="Calibri" w:eastAsia="Times New Roman" w:hAnsi="Calibri" w:cs="Calibri"/>
                <w:b/>
                <w:bCs/>
              </w:rPr>
            </w:pPr>
            <w:r w:rsidRPr="006E5C07">
              <w:rPr>
                <w:rFonts w:ascii="Gill Sans MT" w:eastAsia="Times New Roman" w:hAnsi="Gill Sans MT" w:cs="Calibri"/>
                <w:b/>
                <w:bCs/>
                <w:sz w:val="18"/>
                <w:szCs w:val="18"/>
              </w:rPr>
              <w:t>750</w:t>
            </w:r>
          </w:p>
        </w:tc>
      </w:tr>
      <w:tr w:rsidR="006E5C07" w:rsidRPr="006E5C07" w14:paraId="48001E8C" w14:textId="77777777" w:rsidTr="006E5C07">
        <w:tc>
          <w:tcPr>
            <w:tcW w:w="3328" w:type="dxa"/>
            <w:tcMar>
              <w:top w:w="0" w:type="dxa"/>
              <w:left w:w="108" w:type="dxa"/>
              <w:bottom w:w="0" w:type="dxa"/>
              <w:right w:w="108" w:type="dxa"/>
            </w:tcMar>
            <w:hideMark/>
          </w:tcPr>
          <w:p w14:paraId="2E6133A2" w14:textId="77777777" w:rsidR="006E5C07" w:rsidRPr="006E5C07" w:rsidRDefault="006E5C07" w:rsidP="006E5C07">
            <w:pPr>
              <w:spacing w:after="0" w:line="240" w:lineRule="auto"/>
              <w:rPr>
                <w:rFonts w:ascii="Calibri" w:eastAsia="Times New Roman" w:hAnsi="Calibri" w:cs="Calibri"/>
                <w:b/>
                <w:bCs/>
              </w:rPr>
            </w:pPr>
          </w:p>
        </w:tc>
        <w:tc>
          <w:tcPr>
            <w:tcW w:w="776" w:type="dxa"/>
            <w:tcBorders>
              <w:top w:val="nil"/>
              <w:left w:val="nil"/>
              <w:bottom w:val="nil"/>
              <w:right w:val="nil"/>
            </w:tcBorders>
            <w:tcMar>
              <w:top w:w="0" w:type="dxa"/>
              <w:left w:w="108" w:type="dxa"/>
              <w:bottom w:w="0" w:type="dxa"/>
              <w:right w:w="108" w:type="dxa"/>
            </w:tcMar>
            <w:hideMark/>
          </w:tcPr>
          <w:p w14:paraId="6206A3F1" w14:textId="77777777" w:rsidR="006E5C07" w:rsidRPr="006E5C07" w:rsidRDefault="006E5C07" w:rsidP="006E5C07">
            <w:pPr>
              <w:spacing w:after="0" w:line="240" w:lineRule="auto"/>
              <w:rPr>
                <w:rFonts w:ascii="Calibri" w:eastAsia="Times New Roman" w:hAnsi="Calibri" w:cs="Calibri"/>
                <w:b/>
                <w:bCs/>
              </w:rPr>
            </w:pPr>
          </w:p>
        </w:tc>
        <w:tc>
          <w:tcPr>
            <w:tcW w:w="918" w:type="dxa"/>
            <w:tcBorders>
              <w:top w:val="nil"/>
              <w:left w:val="nil"/>
              <w:bottom w:val="nil"/>
              <w:right w:val="nil"/>
            </w:tcBorders>
            <w:tcMar>
              <w:top w:w="0" w:type="dxa"/>
              <w:left w:w="108" w:type="dxa"/>
              <w:bottom w:w="0" w:type="dxa"/>
              <w:right w:w="108" w:type="dxa"/>
            </w:tcMar>
            <w:hideMark/>
          </w:tcPr>
          <w:p w14:paraId="33CC4971" w14:textId="77777777" w:rsidR="006E5C07" w:rsidRPr="006E5C07" w:rsidRDefault="006E5C07" w:rsidP="006E5C07">
            <w:pPr>
              <w:spacing w:after="0" w:line="240" w:lineRule="auto"/>
              <w:jc w:val="right"/>
              <w:rPr>
                <w:rFonts w:ascii="Calibri" w:eastAsia="Times New Roman" w:hAnsi="Calibri" w:cs="Calibri"/>
                <w:b/>
                <w:bCs/>
              </w:rPr>
            </w:pPr>
          </w:p>
        </w:tc>
        <w:tc>
          <w:tcPr>
            <w:tcW w:w="777" w:type="dxa"/>
            <w:tcBorders>
              <w:top w:val="nil"/>
              <w:left w:val="nil"/>
              <w:bottom w:val="nil"/>
              <w:right w:val="nil"/>
            </w:tcBorders>
            <w:tcMar>
              <w:top w:w="0" w:type="dxa"/>
              <w:left w:w="108" w:type="dxa"/>
              <w:bottom w:w="0" w:type="dxa"/>
              <w:right w:w="108" w:type="dxa"/>
            </w:tcMar>
            <w:hideMark/>
          </w:tcPr>
          <w:p w14:paraId="3F2A3550" w14:textId="77777777" w:rsidR="006E5C07" w:rsidRPr="006E5C07" w:rsidRDefault="006E5C07" w:rsidP="006E5C07">
            <w:pPr>
              <w:spacing w:after="0" w:line="240" w:lineRule="auto"/>
              <w:jc w:val="right"/>
              <w:rPr>
                <w:rFonts w:ascii="Calibri" w:eastAsia="Times New Roman" w:hAnsi="Calibri" w:cs="Calibri"/>
                <w:b/>
                <w:bCs/>
              </w:rPr>
            </w:pPr>
          </w:p>
        </w:tc>
        <w:tc>
          <w:tcPr>
            <w:tcW w:w="776" w:type="dxa"/>
            <w:tcBorders>
              <w:top w:val="nil"/>
              <w:left w:val="nil"/>
              <w:bottom w:val="nil"/>
              <w:right w:val="nil"/>
            </w:tcBorders>
            <w:tcMar>
              <w:top w:w="0" w:type="dxa"/>
              <w:left w:w="108" w:type="dxa"/>
              <w:bottom w:w="0" w:type="dxa"/>
              <w:right w:w="108" w:type="dxa"/>
            </w:tcMar>
            <w:hideMark/>
          </w:tcPr>
          <w:p w14:paraId="514C1FEB" w14:textId="77777777" w:rsidR="006E5C07" w:rsidRPr="006E5C07" w:rsidRDefault="006E5C07" w:rsidP="006E5C07">
            <w:pPr>
              <w:spacing w:after="0" w:line="240" w:lineRule="auto"/>
              <w:jc w:val="right"/>
              <w:rPr>
                <w:rFonts w:ascii="Calibri" w:eastAsia="Times New Roman" w:hAnsi="Calibri" w:cs="Calibri"/>
                <w:b/>
                <w:bCs/>
              </w:rPr>
            </w:pPr>
          </w:p>
        </w:tc>
        <w:tc>
          <w:tcPr>
            <w:tcW w:w="1201" w:type="dxa"/>
            <w:tcBorders>
              <w:top w:val="nil"/>
              <w:left w:val="nil"/>
              <w:bottom w:val="nil"/>
              <w:right w:val="nil"/>
            </w:tcBorders>
            <w:tcMar>
              <w:top w:w="0" w:type="dxa"/>
              <w:left w:w="108" w:type="dxa"/>
              <w:bottom w:w="0" w:type="dxa"/>
              <w:right w:w="108" w:type="dxa"/>
            </w:tcMar>
            <w:hideMark/>
          </w:tcPr>
          <w:p w14:paraId="70715CC0" w14:textId="77777777" w:rsidR="006E5C07" w:rsidRPr="006E5C07" w:rsidRDefault="006E5C07" w:rsidP="006E5C07">
            <w:pPr>
              <w:spacing w:after="0" w:line="240" w:lineRule="auto"/>
              <w:jc w:val="right"/>
              <w:rPr>
                <w:rFonts w:ascii="Calibri" w:eastAsia="Times New Roman" w:hAnsi="Calibri" w:cs="Calibri"/>
                <w:b/>
                <w:bCs/>
              </w:rPr>
            </w:pPr>
          </w:p>
        </w:tc>
      </w:tr>
    </w:tbl>
    <w:p w14:paraId="47A0B0CF" w14:textId="77777777" w:rsidR="006E5C07" w:rsidRPr="006E5C07" w:rsidRDefault="006E5C07" w:rsidP="006E5C07">
      <w:pPr>
        <w:spacing w:before="240" w:after="240" w:line="240" w:lineRule="auto"/>
        <w:jc w:val="both"/>
        <w:rPr>
          <w:rFonts w:ascii="Calibri" w:eastAsia="Times New Roman" w:hAnsi="Calibri" w:cs="Calibri"/>
          <w:color w:val="16202C"/>
        </w:rPr>
      </w:pPr>
      <w:r w:rsidRPr="006E5C07">
        <w:rPr>
          <w:rFonts w:ascii="Gill Sans MT" w:eastAsia="Times New Roman" w:hAnsi="Gill Sans MT" w:cs="Calibri"/>
          <w:color w:val="000000"/>
          <w:sz w:val="18"/>
          <w:szCs w:val="18"/>
        </w:rPr>
        <w:t>The "Other" column includes the effect of reclassification of non-current leases to current due to the passage of time, the effect of the disposal of lease assets with their related creditors and the effect of the unwinding of the discounted ROU creditors over time.</w:t>
      </w:r>
    </w:p>
    <w:p w14:paraId="7AABC7C4" w14:textId="77777777" w:rsidR="006E5C07" w:rsidRPr="006E5C07" w:rsidRDefault="006E5C07" w:rsidP="006E5C07">
      <w:pPr>
        <w:spacing w:after="200" w:line="253" w:lineRule="atLeast"/>
        <w:ind w:left="1800" w:hanging="927"/>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23.       Financial instruments and risk management</w:t>
      </w:r>
    </w:p>
    <w:p w14:paraId="2B1BB0DA"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Group has no material financial instruments other than cash, current receivables and liabilities, in both this and the prior period, all of which arise directly from its operations. The net fair value of its financial assets and liabilities is the same as their carrying value as detailed in the balance sheet and related notes.</w:t>
      </w:r>
    </w:p>
    <w:p w14:paraId="605C5E68"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529E92FF"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b/>
          <w:bCs/>
          <w:color w:val="16202C"/>
          <w:sz w:val="18"/>
          <w:szCs w:val="18"/>
        </w:rPr>
        <w:t>Credit risk -</w:t>
      </w:r>
      <w:r w:rsidRPr="006E5C07">
        <w:rPr>
          <w:rFonts w:ascii="Gill Sans MT" w:eastAsia="Times New Roman" w:hAnsi="Gill Sans MT" w:cs="Calibri"/>
          <w:color w:val="16202C"/>
          <w:sz w:val="18"/>
          <w:szCs w:val="18"/>
        </w:rPr>
        <w:t> The Group's credit risk relates to its receivables and is managed by undertaking regular credit evaluations of its customers. The Group is aware that customers' financial strength may have been adversely affected by the Covid-19 pandemic and endeavours to work with them and our venue partners to provide appropriate discounts and payment plans to enable them to continue to trade and repay any amounts owed in an agreed manner. The Group does not routinely offer credit terms to the majority of customers.</w:t>
      </w:r>
    </w:p>
    <w:p w14:paraId="287A2AF6"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71CEEF8A"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b/>
          <w:bCs/>
          <w:color w:val="16202C"/>
          <w:sz w:val="18"/>
          <w:szCs w:val="18"/>
        </w:rPr>
        <w:t>Liquidity risk -</w:t>
      </w:r>
      <w:r w:rsidRPr="006E5C07">
        <w:rPr>
          <w:rFonts w:ascii="Gill Sans MT" w:eastAsia="Times New Roman" w:hAnsi="Gill Sans MT" w:cs="Calibri"/>
          <w:color w:val="16202C"/>
          <w:sz w:val="18"/>
          <w:szCs w:val="18"/>
        </w:rPr>
        <w:t> The Group usually operates a cash-generative business and has significant cash headroom. The Directors consider the funding structure to be adequate for the Group's current funding requirements and this is expected to strengthen during future years.</w:t>
      </w:r>
    </w:p>
    <w:p w14:paraId="2AC8689C"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6561FCAA"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b/>
          <w:bCs/>
          <w:color w:val="16202C"/>
          <w:sz w:val="18"/>
          <w:szCs w:val="18"/>
        </w:rPr>
        <w:t>Borrowing facilities -</w:t>
      </w:r>
      <w:r w:rsidRPr="006E5C07">
        <w:rPr>
          <w:rFonts w:ascii="Gill Sans MT" w:eastAsia="Times New Roman" w:hAnsi="Gill Sans MT" w:cs="Calibri"/>
          <w:color w:val="16202C"/>
          <w:sz w:val="18"/>
          <w:szCs w:val="18"/>
        </w:rPr>
        <w:t> As at the balance sheet date, the Group has agreed facilities of £2.25 million, of which £1.75 million was utilised at the year end. These facilities are secured by a floating charge.</w:t>
      </w:r>
    </w:p>
    <w:p w14:paraId="7B26F759"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20EBF943"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b/>
          <w:bCs/>
          <w:color w:val="16202C"/>
          <w:sz w:val="18"/>
          <w:szCs w:val="18"/>
        </w:rPr>
        <w:t>Financial assets - </w:t>
      </w:r>
      <w:r w:rsidRPr="006E5C07">
        <w:rPr>
          <w:rFonts w:ascii="Gill Sans MT" w:eastAsia="Times New Roman" w:hAnsi="Gill Sans MT" w:cs="Calibri"/>
          <w:color w:val="16202C"/>
          <w:sz w:val="18"/>
          <w:szCs w:val="18"/>
        </w:rPr>
        <w:t>These comprise cash at bank and in hand. All bank deposits are floating rate.</w:t>
      </w:r>
    </w:p>
    <w:p w14:paraId="17C6306C"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293C51BD"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b/>
          <w:bCs/>
          <w:color w:val="16202C"/>
          <w:sz w:val="18"/>
          <w:szCs w:val="18"/>
        </w:rPr>
        <w:t>Financial liabilities -</w:t>
      </w:r>
      <w:r w:rsidRPr="006E5C07">
        <w:rPr>
          <w:rFonts w:ascii="Gill Sans MT" w:eastAsia="Times New Roman" w:hAnsi="Gill Sans MT" w:cs="Calibri"/>
          <w:color w:val="16202C"/>
          <w:sz w:val="18"/>
          <w:szCs w:val="18"/>
        </w:rPr>
        <w:t> These include short-term creditors, a revolving credit facility of £1 million, of which £0.75 million was utilised at the year end and a CBILS five-year term loan of £1 million. All financial liabilities will be financed from existing cash reserves and operating cash flows.</w:t>
      </w:r>
    </w:p>
    <w:p w14:paraId="0A188379" w14:textId="77777777" w:rsidR="006E5C07" w:rsidRPr="006E5C07" w:rsidRDefault="006E5C07" w:rsidP="006E5C07">
      <w:pPr>
        <w:spacing w:after="0" w:line="240" w:lineRule="auto"/>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69787B31"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b/>
          <w:bCs/>
          <w:color w:val="16202C"/>
          <w:sz w:val="18"/>
          <w:szCs w:val="18"/>
        </w:rPr>
        <w:t>Foreign currency risk -</w:t>
      </w:r>
      <w:r w:rsidRPr="006E5C07">
        <w:rPr>
          <w:rFonts w:ascii="Gill Sans MT" w:eastAsia="Times New Roman" w:hAnsi="Gill Sans MT" w:cs="Calibri"/>
          <w:color w:val="16202C"/>
          <w:sz w:val="18"/>
          <w:szCs w:val="18"/>
        </w:rPr>
        <w:t> The Group is exposed to foreign exchange risk primarily from Euros due to its German operations and Euro denominated licensing income as detailed in note 4 - Segmental Reporting. The Group monitors its foreign currency exposure and manages the position where appropriate. In addition, the Group has investments in a subsidiary in India.</w:t>
      </w:r>
    </w:p>
    <w:p w14:paraId="4E1AF685"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lastRenderedPageBreak/>
        <w:t> </w:t>
      </w:r>
    </w:p>
    <w:p w14:paraId="7B701F7C" w14:textId="77777777" w:rsidR="006E5C07" w:rsidRPr="006E5C07" w:rsidRDefault="006E5C07" w:rsidP="006E5C07">
      <w:pPr>
        <w:spacing w:after="0" w:line="240" w:lineRule="auto"/>
        <w:ind w:hanging="567"/>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24.       Called up share capital</w:t>
      </w:r>
    </w:p>
    <w:p w14:paraId="1774C9B7" w14:textId="77777777" w:rsidR="006E5C07" w:rsidRPr="006E5C07" w:rsidRDefault="006E5C07" w:rsidP="006E5C07">
      <w:pPr>
        <w:spacing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1252"/>
        <w:gridCol w:w="1252"/>
        <w:gridCol w:w="2066"/>
        <w:gridCol w:w="1485"/>
        <w:gridCol w:w="776"/>
        <w:gridCol w:w="1485"/>
      </w:tblGrid>
      <w:tr w:rsidR="006E5C07" w:rsidRPr="006E5C07" w14:paraId="47F94BC6" w14:textId="77777777" w:rsidTr="006E5C07">
        <w:tc>
          <w:tcPr>
            <w:tcW w:w="4570" w:type="dxa"/>
            <w:gridSpan w:val="3"/>
            <w:tcMar>
              <w:top w:w="0" w:type="dxa"/>
              <w:left w:w="108" w:type="dxa"/>
              <w:bottom w:w="0" w:type="dxa"/>
              <w:right w:w="108" w:type="dxa"/>
            </w:tcMar>
            <w:hideMark/>
          </w:tcPr>
          <w:p w14:paraId="766B3A15"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Allotted, issued and fully paid</w:t>
            </w:r>
          </w:p>
        </w:tc>
        <w:tc>
          <w:tcPr>
            <w:tcW w:w="1485" w:type="dxa"/>
            <w:tcMar>
              <w:top w:w="0" w:type="dxa"/>
              <w:left w:w="108" w:type="dxa"/>
              <w:bottom w:w="0" w:type="dxa"/>
              <w:right w:w="108" w:type="dxa"/>
            </w:tcMar>
            <w:hideMark/>
          </w:tcPr>
          <w:p w14:paraId="0AA0383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'20</w:t>
            </w:r>
          </w:p>
        </w:tc>
        <w:tc>
          <w:tcPr>
            <w:tcW w:w="776" w:type="dxa"/>
            <w:tcMar>
              <w:top w:w="0" w:type="dxa"/>
              <w:left w:w="108" w:type="dxa"/>
              <w:bottom w:w="0" w:type="dxa"/>
              <w:right w:w="108" w:type="dxa"/>
            </w:tcMar>
            <w:hideMark/>
          </w:tcPr>
          <w:p w14:paraId="3F991768" w14:textId="77777777" w:rsidR="006E5C07" w:rsidRPr="006E5C07" w:rsidRDefault="006E5C07" w:rsidP="006E5C07">
            <w:pPr>
              <w:spacing w:after="0" w:line="240" w:lineRule="auto"/>
              <w:jc w:val="right"/>
              <w:rPr>
                <w:rFonts w:ascii="Calibri" w:eastAsia="Times New Roman" w:hAnsi="Calibri" w:cs="Calibri"/>
              </w:rPr>
            </w:pPr>
          </w:p>
        </w:tc>
        <w:tc>
          <w:tcPr>
            <w:tcW w:w="1485" w:type="dxa"/>
            <w:tcMar>
              <w:top w:w="0" w:type="dxa"/>
              <w:left w:w="108" w:type="dxa"/>
              <w:bottom w:w="0" w:type="dxa"/>
              <w:right w:w="108" w:type="dxa"/>
            </w:tcMar>
            <w:hideMark/>
          </w:tcPr>
          <w:p w14:paraId="6F23B59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'19</w:t>
            </w:r>
          </w:p>
        </w:tc>
      </w:tr>
      <w:tr w:rsidR="006E5C07" w:rsidRPr="006E5C07" w14:paraId="5273B12B" w14:textId="77777777" w:rsidTr="006E5C07">
        <w:tc>
          <w:tcPr>
            <w:tcW w:w="1252" w:type="dxa"/>
            <w:tcMar>
              <w:top w:w="0" w:type="dxa"/>
              <w:left w:w="108" w:type="dxa"/>
              <w:bottom w:w="0" w:type="dxa"/>
              <w:right w:w="108" w:type="dxa"/>
            </w:tcMar>
            <w:hideMark/>
          </w:tcPr>
          <w:p w14:paraId="41DCCB83"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Class</w:t>
            </w:r>
          </w:p>
        </w:tc>
        <w:tc>
          <w:tcPr>
            <w:tcW w:w="1252" w:type="dxa"/>
            <w:tcMar>
              <w:top w:w="0" w:type="dxa"/>
              <w:left w:w="108" w:type="dxa"/>
              <w:bottom w:w="0" w:type="dxa"/>
              <w:right w:w="108" w:type="dxa"/>
            </w:tcMar>
            <w:hideMark/>
          </w:tcPr>
          <w:p w14:paraId="4E783F99"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Nominal value</w:t>
            </w:r>
          </w:p>
        </w:tc>
        <w:tc>
          <w:tcPr>
            <w:tcW w:w="1634" w:type="dxa"/>
            <w:tcMar>
              <w:top w:w="0" w:type="dxa"/>
              <w:left w:w="108" w:type="dxa"/>
              <w:bottom w:w="0" w:type="dxa"/>
              <w:right w:w="108" w:type="dxa"/>
            </w:tcMar>
            <w:hideMark/>
          </w:tcPr>
          <w:p w14:paraId="762CB6B5" w14:textId="77777777" w:rsidR="006E5C07" w:rsidRPr="006E5C07" w:rsidRDefault="006E5C07" w:rsidP="006E5C07">
            <w:pPr>
              <w:spacing w:after="0" w:line="240" w:lineRule="auto"/>
              <w:rPr>
                <w:rFonts w:ascii="Calibri" w:eastAsia="Times New Roman" w:hAnsi="Calibri" w:cs="Calibri"/>
              </w:rPr>
            </w:pPr>
          </w:p>
        </w:tc>
        <w:tc>
          <w:tcPr>
            <w:tcW w:w="1485" w:type="dxa"/>
            <w:tcMar>
              <w:top w:w="0" w:type="dxa"/>
              <w:left w:w="108" w:type="dxa"/>
              <w:bottom w:w="0" w:type="dxa"/>
              <w:right w:w="108" w:type="dxa"/>
            </w:tcMar>
            <w:hideMark/>
          </w:tcPr>
          <w:p w14:paraId="2C6A2DB3" w14:textId="77777777" w:rsidR="006E5C07" w:rsidRPr="006E5C07" w:rsidRDefault="006E5C07" w:rsidP="006E5C07">
            <w:pPr>
              <w:spacing w:after="0" w:line="240" w:lineRule="auto"/>
              <w:jc w:val="right"/>
              <w:rPr>
                <w:rFonts w:ascii="Calibri" w:eastAsia="Times New Roman" w:hAnsi="Calibri" w:cs="Calibri"/>
              </w:rPr>
            </w:pPr>
          </w:p>
        </w:tc>
        <w:tc>
          <w:tcPr>
            <w:tcW w:w="776" w:type="dxa"/>
            <w:tcMar>
              <w:top w:w="0" w:type="dxa"/>
              <w:left w:w="108" w:type="dxa"/>
              <w:bottom w:w="0" w:type="dxa"/>
              <w:right w:w="108" w:type="dxa"/>
            </w:tcMar>
            <w:hideMark/>
          </w:tcPr>
          <w:p w14:paraId="0067EDE5" w14:textId="77777777" w:rsidR="006E5C07" w:rsidRPr="006E5C07" w:rsidRDefault="006E5C07" w:rsidP="006E5C07">
            <w:pPr>
              <w:spacing w:after="0" w:line="240" w:lineRule="auto"/>
              <w:jc w:val="right"/>
              <w:rPr>
                <w:rFonts w:ascii="Calibri" w:eastAsia="Times New Roman" w:hAnsi="Calibri" w:cs="Calibri"/>
              </w:rPr>
            </w:pPr>
          </w:p>
        </w:tc>
        <w:tc>
          <w:tcPr>
            <w:tcW w:w="1485" w:type="dxa"/>
            <w:tcMar>
              <w:top w:w="0" w:type="dxa"/>
              <w:left w:w="108" w:type="dxa"/>
              <w:bottom w:w="0" w:type="dxa"/>
              <w:right w:w="108" w:type="dxa"/>
            </w:tcMar>
            <w:hideMark/>
          </w:tcPr>
          <w:p w14:paraId="2E1E10B5"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363F8799" w14:textId="77777777" w:rsidTr="006E5C07">
        <w:tc>
          <w:tcPr>
            <w:tcW w:w="1252" w:type="dxa"/>
            <w:tcMar>
              <w:top w:w="0" w:type="dxa"/>
              <w:left w:w="108" w:type="dxa"/>
              <w:bottom w:w="0" w:type="dxa"/>
              <w:right w:w="108" w:type="dxa"/>
            </w:tcMar>
            <w:hideMark/>
          </w:tcPr>
          <w:p w14:paraId="3B609670"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Ordinary</w:t>
            </w:r>
          </w:p>
        </w:tc>
        <w:tc>
          <w:tcPr>
            <w:tcW w:w="1252" w:type="dxa"/>
            <w:tcMar>
              <w:top w:w="0" w:type="dxa"/>
              <w:left w:w="108" w:type="dxa"/>
              <w:bottom w:w="0" w:type="dxa"/>
              <w:right w:w="108" w:type="dxa"/>
            </w:tcMar>
            <w:hideMark/>
          </w:tcPr>
          <w:p w14:paraId="03781C09"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1p</w:t>
            </w:r>
          </w:p>
        </w:tc>
        <w:tc>
          <w:tcPr>
            <w:tcW w:w="1634" w:type="dxa"/>
            <w:tcMar>
              <w:top w:w="0" w:type="dxa"/>
              <w:left w:w="108" w:type="dxa"/>
              <w:bottom w:w="0" w:type="dxa"/>
              <w:right w:w="108" w:type="dxa"/>
            </w:tcMar>
            <w:hideMark/>
          </w:tcPr>
          <w:p w14:paraId="31D8347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w:t>
            </w:r>
          </w:p>
        </w:tc>
        <w:tc>
          <w:tcPr>
            <w:tcW w:w="1485" w:type="dxa"/>
            <w:tcMar>
              <w:top w:w="0" w:type="dxa"/>
              <w:left w:w="108" w:type="dxa"/>
              <w:bottom w:w="0" w:type="dxa"/>
              <w:right w:w="108" w:type="dxa"/>
            </w:tcMar>
            <w:hideMark/>
          </w:tcPr>
          <w:p w14:paraId="4E61F06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195,196</w:t>
            </w:r>
          </w:p>
        </w:tc>
        <w:tc>
          <w:tcPr>
            <w:tcW w:w="776" w:type="dxa"/>
            <w:tcMar>
              <w:top w:w="0" w:type="dxa"/>
              <w:left w:w="108" w:type="dxa"/>
              <w:bottom w:w="0" w:type="dxa"/>
              <w:right w:w="108" w:type="dxa"/>
            </w:tcMar>
            <w:hideMark/>
          </w:tcPr>
          <w:p w14:paraId="1E518A13" w14:textId="77777777" w:rsidR="006E5C07" w:rsidRPr="006E5C07" w:rsidRDefault="006E5C07" w:rsidP="006E5C07">
            <w:pPr>
              <w:spacing w:after="0" w:line="240" w:lineRule="auto"/>
              <w:jc w:val="right"/>
              <w:rPr>
                <w:rFonts w:ascii="Calibri" w:eastAsia="Times New Roman" w:hAnsi="Calibri" w:cs="Calibri"/>
              </w:rPr>
            </w:pPr>
          </w:p>
        </w:tc>
        <w:tc>
          <w:tcPr>
            <w:tcW w:w="1485" w:type="dxa"/>
            <w:tcMar>
              <w:top w:w="0" w:type="dxa"/>
              <w:left w:w="108" w:type="dxa"/>
              <w:bottom w:w="0" w:type="dxa"/>
              <w:right w:w="108" w:type="dxa"/>
            </w:tcMar>
            <w:hideMark/>
          </w:tcPr>
          <w:p w14:paraId="392AB3C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195,196</w:t>
            </w:r>
          </w:p>
        </w:tc>
      </w:tr>
      <w:tr w:rsidR="006E5C07" w:rsidRPr="006E5C07" w14:paraId="212A3927" w14:textId="77777777" w:rsidTr="006E5C07">
        <w:tc>
          <w:tcPr>
            <w:tcW w:w="1252" w:type="dxa"/>
            <w:tcMar>
              <w:top w:w="0" w:type="dxa"/>
              <w:left w:w="108" w:type="dxa"/>
              <w:bottom w:w="0" w:type="dxa"/>
              <w:right w:w="108" w:type="dxa"/>
            </w:tcMar>
            <w:hideMark/>
          </w:tcPr>
          <w:p w14:paraId="3E41DC2A" w14:textId="77777777" w:rsidR="006E5C07" w:rsidRPr="006E5C07" w:rsidRDefault="006E5C07" w:rsidP="006E5C07">
            <w:pPr>
              <w:spacing w:after="0" w:line="240" w:lineRule="auto"/>
              <w:rPr>
                <w:rFonts w:ascii="Calibri" w:eastAsia="Times New Roman" w:hAnsi="Calibri" w:cs="Calibri"/>
              </w:rPr>
            </w:pPr>
          </w:p>
        </w:tc>
        <w:tc>
          <w:tcPr>
            <w:tcW w:w="1252" w:type="dxa"/>
            <w:tcMar>
              <w:top w:w="0" w:type="dxa"/>
              <w:left w:w="108" w:type="dxa"/>
              <w:bottom w:w="0" w:type="dxa"/>
              <w:right w:w="108" w:type="dxa"/>
            </w:tcMar>
            <w:hideMark/>
          </w:tcPr>
          <w:p w14:paraId="7FA7FA17" w14:textId="77777777" w:rsidR="006E5C07" w:rsidRPr="006E5C07" w:rsidRDefault="006E5C07" w:rsidP="006E5C07">
            <w:pPr>
              <w:spacing w:after="0" w:line="240" w:lineRule="auto"/>
              <w:rPr>
                <w:rFonts w:ascii="Calibri" w:eastAsia="Times New Roman" w:hAnsi="Calibri" w:cs="Calibri"/>
              </w:rPr>
            </w:pPr>
          </w:p>
        </w:tc>
        <w:tc>
          <w:tcPr>
            <w:tcW w:w="1634" w:type="dxa"/>
            <w:tcMar>
              <w:top w:w="0" w:type="dxa"/>
              <w:left w:w="108" w:type="dxa"/>
              <w:bottom w:w="0" w:type="dxa"/>
              <w:right w:w="108" w:type="dxa"/>
            </w:tcMar>
            <w:hideMark/>
          </w:tcPr>
          <w:p w14:paraId="6A32457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Number</w:t>
            </w:r>
          </w:p>
        </w:tc>
        <w:tc>
          <w:tcPr>
            <w:tcW w:w="1485" w:type="dxa"/>
            <w:tcMar>
              <w:top w:w="0" w:type="dxa"/>
              <w:left w:w="108" w:type="dxa"/>
              <w:bottom w:w="0" w:type="dxa"/>
              <w:right w:w="108" w:type="dxa"/>
            </w:tcMar>
            <w:hideMark/>
          </w:tcPr>
          <w:p w14:paraId="259F722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19,519,563</w:t>
            </w:r>
          </w:p>
        </w:tc>
        <w:tc>
          <w:tcPr>
            <w:tcW w:w="776" w:type="dxa"/>
            <w:tcMar>
              <w:top w:w="0" w:type="dxa"/>
              <w:left w:w="108" w:type="dxa"/>
              <w:bottom w:w="0" w:type="dxa"/>
              <w:right w:w="108" w:type="dxa"/>
            </w:tcMar>
            <w:hideMark/>
          </w:tcPr>
          <w:p w14:paraId="70EACAB5" w14:textId="77777777" w:rsidR="006E5C07" w:rsidRPr="006E5C07" w:rsidRDefault="006E5C07" w:rsidP="006E5C07">
            <w:pPr>
              <w:spacing w:after="0" w:line="240" w:lineRule="auto"/>
              <w:jc w:val="right"/>
              <w:rPr>
                <w:rFonts w:ascii="Calibri" w:eastAsia="Times New Roman" w:hAnsi="Calibri" w:cs="Calibri"/>
              </w:rPr>
            </w:pPr>
          </w:p>
        </w:tc>
        <w:tc>
          <w:tcPr>
            <w:tcW w:w="1485" w:type="dxa"/>
            <w:tcMar>
              <w:top w:w="0" w:type="dxa"/>
              <w:left w:w="108" w:type="dxa"/>
              <w:bottom w:w="0" w:type="dxa"/>
              <w:right w:w="108" w:type="dxa"/>
            </w:tcMar>
            <w:hideMark/>
          </w:tcPr>
          <w:p w14:paraId="7A6F76B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19,519,563</w:t>
            </w:r>
          </w:p>
        </w:tc>
      </w:tr>
    </w:tbl>
    <w:p w14:paraId="6BDF4B95"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706378BB" w14:textId="77777777" w:rsidR="006E5C07" w:rsidRPr="006E5C07" w:rsidRDefault="006E5C07" w:rsidP="006E5C07">
      <w:pPr>
        <w:spacing w:after="0" w:line="240" w:lineRule="auto"/>
        <w:ind w:hanging="540"/>
        <w:rPr>
          <w:rFonts w:ascii="Calibri" w:eastAsia="Times New Roman" w:hAnsi="Calibri" w:cs="Calibri"/>
          <w:b/>
          <w:bCs/>
          <w:color w:val="16202C"/>
        </w:rPr>
      </w:pPr>
      <w:r w:rsidRPr="006E5C07">
        <w:rPr>
          <w:rFonts w:ascii="Gill Sans MT" w:eastAsia="Times New Roman" w:hAnsi="Gill Sans MT" w:cs="Calibri"/>
          <w:b/>
          <w:bCs/>
          <w:color w:val="16202C"/>
          <w:sz w:val="18"/>
          <w:szCs w:val="18"/>
        </w:rPr>
        <w:t>25.      Related party transactions</w:t>
      </w:r>
    </w:p>
    <w:p w14:paraId="331B8376" w14:textId="77777777" w:rsidR="006E5C07" w:rsidRPr="006E5C07" w:rsidRDefault="006E5C07" w:rsidP="006E5C07">
      <w:pPr>
        <w:spacing w:after="0" w:line="240" w:lineRule="auto"/>
        <w:ind w:left="1800"/>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418F2480" w14:textId="77777777" w:rsidR="006E5C07" w:rsidRPr="006E5C07" w:rsidRDefault="006E5C07" w:rsidP="006E5C07">
      <w:pPr>
        <w:spacing w:before="100" w:after="100" w:line="276" w:lineRule="atLeast"/>
        <w:rPr>
          <w:rFonts w:ascii="Arial" w:eastAsia="Times New Roman" w:hAnsi="Arial" w:cs="Arial"/>
          <w:color w:val="16202C"/>
          <w:sz w:val="24"/>
          <w:szCs w:val="24"/>
        </w:rPr>
      </w:pPr>
      <w:r w:rsidRPr="006E5C07">
        <w:rPr>
          <w:rFonts w:ascii="Gill Sans MT" w:eastAsia="Times New Roman" w:hAnsi="Gill Sans MT" w:cs="Arial"/>
          <w:b/>
          <w:bCs/>
          <w:color w:val="000000"/>
          <w:sz w:val="18"/>
          <w:szCs w:val="18"/>
        </w:rPr>
        <w:t>Compensation of key management personnel</w:t>
      </w:r>
    </w:p>
    <w:p w14:paraId="2B782C27"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000000"/>
          <w:sz w:val="18"/>
          <w:szCs w:val="18"/>
        </w:rPr>
        <w:t>Key management personnel of the Group are defined as those persons having authority and responsibility for the planning, directing and controlling the activities of the Group, directly or indirectly. Key management of the Group are therefore considered to be the directors of SpaceandPeople plc. There were no transactions with the key management, other than their emoluments, which are set out in the remuneration report.</w:t>
      </w:r>
    </w:p>
    <w:p w14:paraId="3C428BFD"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60014F1C" w14:textId="77777777" w:rsidR="006E5C07" w:rsidRPr="006E5C07" w:rsidRDefault="006E5C07" w:rsidP="006E5C07">
      <w:pPr>
        <w:spacing w:line="240" w:lineRule="auto"/>
        <w:ind w:hanging="567"/>
        <w:rPr>
          <w:rFonts w:ascii="Calibri" w:eastAsia="Times New Roman" w:hAnsi="Calibri" w:cs="Calibri"/>
          <w:b/>
          <w:bCs/>
          <w:color w:val="16202C"/>
        </w:rPr>
      </w:pPr>
      <w:r w:rsidRPr="006E5C07">
        <w:rPr>
          <w:rFonts w:ascii="Gill Sans MT" w:eastAsia="Times New Roman" w:hAnsi="Gill Sans MT" w:cs="Calibri"/>
          <w:b/>
          <w:bCs/>
          <w:color w:val="16202C"/>
          <w:sz w:val="18"/>
          <w:szCs w:val="18"/>
        </w:rPr>
        <w:t>26.       Earnings per share                  </w:t>
      </w:r>
    </w:p>
    <w:tbl>
      <w:tblPr>
        <w:tblW w:w="0" w:type="auto"/>
        <w:tblInd w:w="-108" w:type="dxa"/>
        <w:tblCellMar>
          <w:left w:w="0" w:type="dxa"/>
          <w:right w:w="0" w:type="dxa"/>
        </w:tblCellMar>
        <w:tblLook w:val="04A0" w:firstRow="1" w:lastRow="0" w:firstColumn="1" w:lastColumn="0" w:noHBand="0" w:noVBand="1"/>
      </w:tblPr>
      <w:tblGrid>
        <w:gridCol w:w="3753"/>
        <w:gridCol w:w="2420"/>
        <w:gridCol w:w="2205"/>
      </w:tblGrid>
      <w:tr w:rsidR="006E5C07" w:rsidRPr="006E5C07" w14:paraId="00E1DD56" w14:textId="77777777" w:rsidTr="006E5C07">
        <w:tc>
          <w:tcPr>
            <w:tcW w:w="3753" w:type="dxa"/>
            <w:tcMar>
              <w:top w:w="0" w:type="dxa"/>
              <w:left w:w="108" w:type="dxa"/>
              <w:bottom w:w="0" w:type="dxa"/>
              <w:right w:w="108" w:type="dxa"/>
            </w:tcMar>
            <w:hideMark/>
          </w:tcPr>
          <w:p w14:paraId="2D44DC16" w14:textId="77777777" w:rsidR="006E5C07" w:rsidRPr="006E5C07" w:rsidRDefault="006E5C07" w:rsidP="006E5C07">
            <w:pPr>
              <w:spacing w:after="0" w:line="240" w:lineRule="auto"/>
              <w:jc w:val="right"/>
              <w:rPr>
                <w:rFonts w:ascii="Calibri" w:eastAsia="Times New Roman" w:hAnsi="Calibri" w:cs="Calibri"/>
                <w:b/>
                <w:bCs/>
              </w:rPr>
            </w:pPr>
          </w:p>
        </w:tc>
        <w:tc>
          <w:tcPr>
            <w:tcW w:w="2420" w:type="dxa"/>
            <w:tcMar>
              <w:top w:w="0" w:type="dxa"/>
              <w:left w:w="108" w:type="dxa"/>
              <w:bottom w:w="0" w:type="dxa"/>
              <w:right w:w="108" w:type="dxa"/>
            </w:tcMar>
            <w:hideMark/>
          </w:tcPr>
          <w:p w14:paraId="45BBF59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c>
          <w:tcPr>
            <w:tcW w:w="2205" w:type="dxa"/>
            <w:tcMar>
              <w:top w:w="0" w:type="dxa"/>
              <w:left w:w="108" w:type="dxa"/>
              <w:bottom w:w="0" w:type="dxa"/>
              <w:right w:w="108" w:type="dxa"/>
            </w:tcMar>
            <w:hideMark/>
          </w:tcPr>
          <w:p w14:paraId="56C93AC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r>
      <w:tr w:rsidR="006E5C07" w:rsidRPr="006E5C07" w14:paraId="6FA46A07" w14:textId="77777777" w:rsidTr="006E5C07">
        <w:tc>
          <w:tcPr>
            <w:tcW w:w="3753" w:type="dxa"/>
            <w:tcMar>
              <w:top w:w="0" w:type="dxa"/>
              <w:left w:w="108" w:type="dxa"/>
              <w:bottom w:w="0" w:type="dxa"/>
              <w:right w:w="108" w:type="dxa"/>
            </w:tcMar>
            <w:hideMark/>
          </w:tcPr>
          <w:p w14:paraId="73F4E051" w14:textId="77777777" w:rsidR="006E5C07" w:rsidRPr="006E5C07" w:rsidRDefault="006E5C07" w:rsidP="006E5C07">
            <w:pPr>
              <w:spacing w:after="0" w:line="240" w:lineRule="auto"/>
              <w:jc w:val="right"/>
              <w:rPr>
                <w:rFonts w:ascii="Calibri" w:eastAsia="Times New Roman" w:hAnsi="Calibri" w:cs="Calibri"/>
                <w:b/>
                <w:bCs/>
              </w:rPr>
            </w:pPr>
          </w:p>
        </w:tc>
        <w:tc>
          <w:tcPr>
            <w:tcW w:w="2420" w:type="dxa"/>
            <w:tcMar>
              <w:top w:w="0" w:type="dxa"/>
              <w:left w:w="108" w:type="dxa"/>
              <w:bottom w:w="0" w:type="dxa"/>
              <w:right w:w="108" w:type="dxa"/>
            </w:tcMar>
            <w:hideMark/>
          </w:tcPr>
          <w:p w14:paraId="144E667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'20</w:t>
            </w:r>
          </w:p>
        </w:tc>
        <w:tc>
          <w:tcPr>
            <w:tcW w:w="2205" w:type="dxa"/>
            <w:tcMar>
              <w:top w:w="0" w:type="dxa"/>
              <w:left w:w="108" w:type="dxa"/>
              <w:bottom w:w="0" w:type="dxa"/>
              <w:right w:w="108" w:type="dxa"/>
            </w:tcMar>
            <w:hideMark/>
          </w:tcPr>
          <w:p w14:paraId="1EBE670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'19</w:t>
            </w:r>
          </w:p>
          <w:p w14:paraId="098287E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as restated</w:t>
            </w:r>
          </w:p>
        </w:tc>
      </w:tr>
      <w:tr w:rsidR="006E5C07" w:rsidRPr="006E5C07" w14:paraId="54297D50" w14:textId="77777777" w:rsidTr="006E5C07">
        <w:tc>
          <w:tcPr>
            <w:tcW w:w="3753" w:type="dxa"/>
            <w:tcMar>
              <w:top w:w="0" w:type="dxa"/>
              <w:left w:w="108" w:type="dxa"/>
              <w:bottom w:w="0" w:type="dxa"/>
              <w:right w:w="108" w:type="dxa"/>
            </w:tcMar>
            <w:hideMark/>
          </w:tcPr>
          <w:p w14:paraId="118488D4" w14:textId="77777777" w:rsidR="006E5C07" w:rsidRPr="006E5C07" w:rsidRDefault="006E5C07" w:rsidP="006E5C07">
            <w:pPr>
              <w:spacing w:after="0" w:line="240" w:lineRule="auto"/>
              <w:jc w:val="right"/>
              <w:rPr>
                <w:rFonts w:ascii="Calibri" w:eastAsia="Times New Roman" w:hAnsi="Calibri" w:cs="Calibri"/>
                <w:b/>
                <w:bCs/>
              </w:rPr>
            </w:pPr>
          </w:p>
        </w:tc>
        <w:tc>
          <w:tcPr>
            <w:tcW w:w="2420" w:type="dxa"/>
            <w:tcMar>
              <w:top w:w="0" w:type="dxa"/>
              <w:left w:w="108" w:type="dxa"/>
              <w:bottom w:w="0" w:type="dxa"/>
              <w:right w:w="108" w:type="dxa"/>
            </w:tcMar>
            <w:hideMark/>
          </w:tcPr>
          <w:p w14:paraId="2481F14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Pence per share</w:t>
            </w:r>
          </w:p>
        </w:tc>
        <w:tc>
          <w:tcPr>
            <w:tcW w:w="2205" w:type="dxa"/>
            <w:tcMar>
              <w:top w:w="0" w:type="dxa"/>
              <w:left w:w="108" w:type="dxa"/>
              <w:bottom w:w="0" w:type="dxa"/>
              <w:right w:w="108" w:type="dxa"/>
            </w:tcMar>
            <w:hideMark/>
          </w:tcPr>
          <w:p w14:paraId="2811F67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Pence per share</w:t>
            </w:r>
          </w:p>
        </w:tc>
      </w:tr>
      <w:tr w:rsidR="006E5C07" w:rsidRPr="006E5C07" w14:paraId="7E867725" w14:textId="77777777" w:rsidTr="006E5C07">
        <w:tc>
          <w:tcPr>
            <w:tcW w:w="3753" w:type="dxa"/>
            <w:tcMar>
              <w:top w:w="0" w:type="dxa"/>
              <w:left w:w="108" w:type="dxa"/>
              <w:bottom w:w="0" w:type="dxa"/>
              <w:right w:w="108" w:type="dxa"/>
            </w:tcMar>
            <w:hideMark/>
          </w:tcPr>
          <w:p w14:paraId="56B93B7B" w14:textId="77777777" w:rsidR="006E5C07" w:rsidRPr="006E5C07" w:rsidRDefault="006E5C07" w:rsidP="006E5C07">
            <w:pPr>
              <w:spacing w:after="0" w:line="240" w:lineRule="auto"/>
              <w:jc w:val="right"/>
              <w:rPr>
                <w:rFonts w:ascii="Calibri" w:eastAsia="Times New Roman" w:hAnsi="Calibri" w:cs="Calibri"/>
                <w:b/>
                <w:bCs/>
              </w:rPr>
            </w:pPr>
          </w:p>
        </w:tc>
        <w:tc>
          <w:tcPr>
            <w:tcW w:w="2420" w:type="dxa"/>
            <w:tcMar>
              <w:top w:w="0" w:type="dxa"/>
              <w:left w:w="108" w:type="dxa"/>
              <w:bottom w:w="0" w:type="dxa"/>
              <w:right w:w="108" w:type="dxa"/>
            </w:tcMar>
            <w:hideMark/>
          </w:tcPr>
          <w:p w14:paraId="1B2BBA39" w14:textId="77777777" w:rsidR="006E5C07" w:rsidRPr="006E5C07" w:rsidRDefault="006E5C07" w:rsidP="006E5C07">
            <w:pPr>
              <w:spacing w:after="0" w:line="240" w:lineRule="auto"/>
              <w:jc w:val="right"/>
              <w:rPr>
                <w:rFonts w:ascii="Calibri" w:eastAsia="Times New Roman" w:hAnsi="Calibri" w:cs="Calibri"/>
              </w:rPr>
            </w:pPr>
          </w:p>
        </w:tc>
        <w:tc>
          <w:tcPr>
            <w:tcW w:w="2205" w:type="dxa"/>
            <w:tcMar>
              <w:top w:w="0" w:type="dxa"/>
              <w:left w:w="108" w:type="dxa"/>
              <w:bottom w:w="0" w:type="dxa"/>
              <w:right w:w="108" w:type="dxa"/>
            </w:tcMar>
            <w:hideMark/>
          </w:tcPr>
          <w:p w14:paraId="7793DCB1"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395093FC" w14:textId="77777777" w:rsidTr="006E5C07">
        <w:tc>
          <w:tcPr>
            <w:tcW w:w="3753" w:type="dxa"/>
            <w:tcMar>
              <w:top w:w="0" w:type="dxa"/>
              <w:left w:w="108" w:type="dxa"/>
              <w:bottom w:w="0" w:type="dxa"/>
              <w:right w:w="108" w:type="dxa"/>
            </w:tcMar>
            <w:hideMark/>
          </w:tcPr>
          <w:p w14:paraId="0795C898"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Basic (loss) / earnings per share</w:t>
            </w:r>
          </w:p>
        </w:tc>
        <w:tc>
          <w:tcPr>
            <w:tcW w:w="2420" w:type="dxa"/>
            <w:tcMar>
              <w:top w:w="0" w:type="dxa"/>
              <w:left w:w="108" w:type="dxa"/>
              <w:bottom w:w="0" w:type="dxa"/>
              <w:right w:w="108" w:type="dxa"/>
            </w:tcMar>
            <w:hideMark/>
          </w:tcPr>
          <w:p w14:paraId="183D3654" w14:textId="77777777" w:rsidR="006E5C07" w:rsidRPr="006E5C07" w:rsidRDefault="006E5C07" w:rsidP="006E5C07">
            <w:pPr>
              <w:spacing w:after="0" w:line="240" w:lineRule="auto"/>
              <w:rPr>
                <w:rFonts w:ascii="Calibri" w:eastAsia="Times New Roman" w:hAnsi="Calibri" w:cs="Calibri"/>
              </w:rPr>
            </w:pPr>
          </w:p>
        </w:tc>
        <w:tc>
          <w:tcPr>
            <w:tcW w:w="2205" w:type="dxa"/>
            <w:tcMar>
              <w:top w:w="0" w:type="dxa"/>
              <w:left w:w="108" w:type="dxa"/>
              <w:bottom w:w="0" w:type="dxa"/>
              <w:right w:w="108" w:type="dxa"/>
            </w:tcMar>
            <w:hideMark/>
          </w:tcPr>
          <w:p w14:paraId="7F59F673" w14:textId="77777777" w:rsidR="006E5C07" w:rsidRPr="006E5C07" w:rsidRDefault="006E5C07" w:rsidP="006E5C07">
            <w:pPr>
              <w:spacing w:after="0" w:line="240" w:lineRule="auto"/>
              <w:rPr>
                <w:rFonts w:ascii="Calibri" w:eastAsia="Times New Roman" w:hAnsi="Calibri" w:cs="Calibri"/>
              </w:rPr>
            </w:pPr>
          </w:p>
        </w:tc>
      </w:tr>
      <w:tr w:rsidR="006E5C07" w:rsidRPr="006E5C07" w14:paraId="0EFF044D" w14:textId="77777777" w:rsidTr="006E5C07">
        <w:tc>
          <w:tcPr>
            <w:tcW w:w="3753" w:type="dxa"/>
            <w:tcMar>
              <w:top w:w="0" w:type="dxa"/>
              <w:left w:w="108" w:type="dxa"/>
              <w:bottom w:w="0" w:type="dxa"/>
              <w:right w:w="108" w:type="dxa"/>
            </w:tcMar>
            <w:hideMark/>
          </w:tcPr>
          <w:p w14:paraId="634A0E46" w14:textId="77777777" w:rsidR="006E5C07" w:rsidRPr="006E5C07" w:rsidRDefault="006E5C07" w:rsidP="006E5C07">
            <w:pPr>
              <w:spacing w:after="0" w:line="240" w:lineRule="auto"/>
              <w:rPr>
                <w:rFonts w:ascii="Calibri" w:eastAsia="Times New Roman" w:hAnsi="Calibri" w:cs="Calibri"/>
                <w:b/>
                <w:bCs/>
              </w:rPr>
            </w:pPr>
          </w:p>
        </w:tc>
        <w:tc>
          <w:tcPr>
            <w:tcW w:w="2420" w:type="dxa"/>
            <w:tcMar>
              <w:top w:w="0" w:type="dxa"/>
              <w:left w:w="108" w:type="dxa"/>
              <w:bottom w:w="0" w:type="dxa"/>
              <w:right w:w="108" w:type="dxa"/>
            </w:tcMar>
            <w:hideMark/>
          </w:tcPr>
          <w:p w14:paraId="2B128A91" w14:textId="77777777" w:rsidR="006E5C07" w:rsidRPr="006E5C07" w:rsidRDefault="006E5C07" w:rsidP="006E5C07">
            <w:pPr>
              <w:spacing w:after="0" w:line="240" w:lineRule="auto"/>
              <w:jc w:val="right"/>
              <w:rPr>
                <w:rFonts w:ascii="Calibri" w:eastAsia="Times New Roman" w:hAnsi="Calibri" w:cs="Calibri"/>
              </w:rPr>
            </w:pPr>
          </w:p>
        </w:tc>
        <w:tc>
          <w:tcPr>
            <w:tcW w:w="2205" w:type="dxa"/>
            <w:tcMar>
              <w:top w:w="0" w:type="dxa"/>
              <w:left w:w="108" w:type="dxa"/>
              <w:bottom w:w="0" w:type="dxa"/>
              <w:right w:w="108" w:type="dxa"/>
            </w:tcMar>
            <w:hideMark/>
          </w:tcPr>
          <w:p w14:paraId="015AAF2D"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36294EA9" w14:textId="77777777" w:rsidTr="006E5C07">
        <w:tc>
          <w:tcPr>
            <w:tcW w:w="3753" w:type="dxa"/>
            <w:tcMar>
              <w:top w:w="0" w:type="dxa"/>
              <w:left w:w="108" w:type="dxa"/>
              <w:bottom w:w="0" w:type="dxa"/>
              <w:right w:w="108" w:type="dxa"/>
            </w:tcMar>
            <w:hideMark/>
          </w:tcPr>
          <w:p w14:paraId="6854C53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Before non-recurring charges and discontinued operation</w:t>
            </w:r>
          </w:p>
        </w:tc>
        <w:tc>
          <w:tcPr>
            <w:tcW w:w="2420" w:type="dxa"/>
            <w:tcMar>
              <w:top w:w="0" w:type="dxa"/>
              <w:left w:w="108" w:type="dxa"/>
              <w:bottom w:w="0" w:type="dxa"/>
              <w:right w:w="108" w:type="dxa"/>
            </w:tcMar>
            <w:hideMark/>
          </w:tcPr>
          <w:p w14:paraId="171F43D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(7.2)p</w:t>
            </w:r>
          </w:p>
        </w:tc>
        <w:tc>
          <w:tcPr>
            <w:tcW w:w="2205" w:type="dxa"/>
            <w:tcMar>
              <w:top w:w="0" w:type="dxa"/>
              <w:left w:w="108" w:type="dxa"/>
              <w:bottom w:w="0" w:type="dxa"/>
              <w:right w:w="108" w:type="dxa"/>
            </w:tcMar>
            <w:hideMark/>
          </w:tcPr>
          <w:p w14:paraId="2579366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0.3p</w:t>
            </w:r>
          </w:p>
        </w:tc>
      </w:tr>
      <w:tr w:rsidR="006E5C07" w:rsidRPr="006E5C07" w14:paraId="410DA2CB" w14:textId="77777777" w:rsidTr="006E5C07">
        <w:tc>
          <w:tcPr>
            <w:tcW w:w="3753" w:type="dxa"/>
            <w:tcMar>
              <w:top w:w="0" w:type="dxa"/>
              <w:left w:w="108" w:type="dxa"/>
              <w:bottom w:w="0" w:type="dxa"/>
              <w:right w:w="108" w:type="dxa"/>
            </w:tcMar>
            <w:hideMark/>
          </w:tcPr>
          <w:p w14:paraId="69BB6E2D"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After non-recurring charges and discontinued operation</w:t>
            </w:r>
          </w:p>
        </w:tc>
        <w:tc>
          <w:tcPr>
            <w:tcW w:w="2420" w:type="dxa"/>
            <w:tcMar>
              <w:top w:w="0" w:type="dxa"/>
              <w:left w:w="108" w:type="dxa"/>
              <w:bottom w:w="0" w:type="dxa"/>
              <w:right w:w="108" w:type="dxa"/>
            </w:tcMar>
            <w:hideMark/>
          </w:tcPr>
          <w:p w14:paraId="567EAAC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(17.2)p</w:t>
            </w:r>
          </w:p>
        </w:tc>
        <w:tc>
          <w:tcPr>
            <w:tcW w:w="2205" w:type="dxa"/>
            <w:tcMar>
              <w:top w:w="0" w:type="dxa"/>
              <w:left w:w="108" w:type="dxa"/>
              <w:bottom w:w="0" w:type="dxa"/>
              <w:right w:w="108" w:type="dxa"/>
            </w:tcMar>
            <w:hideMark/>
          </w:tcPr>
          <w:p w14:paraId="546BA7B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0.3p</w:t>
            </w:r>
          </w:p>
        </w:tc>
      </w:tr>
      <w:tr w:rsidR="006E5C07" w:rsidRPr="006E5C07" w14:paraId="399CA5F0" w14:textId="77777777" w:rsidTr="006E5C07">
        <w:tc>
          <w:tcPr>
            <w:tcW w:w="3753" w:type="dxa"/>
            <w:tcMar>
              <w:top w:w="0" w:type="dxa"/>
              <w:left w:w="108" w:type="dxa"/>
              <w:bottom w:w="0" w:type="dxa"/>
              <w:right w:w="108" w:type="dxa"/>
            </w:tcMar>
            <w:hideMark/>
          </w:tcPr>
          <w:p w14:paraId="432B2FFF" w14:textId="77777777" w:rsidR="006E5C07" w:rsidRPr="006E5C07" w:rsidRDefault="006E5C07" w:rsidP="006E5C07">
            <w:pPr>
              <w:spacing w:after="0" w:line="240" w:lineRule="auto"/>
              <w:rPr>
                <w:rFonts w:ascii="Calibri" w:eastAsia="Times New Roman" w:hAnsi="Calibri" w:cs="Calibri"/>
              </w:rPr>
            </w:pPr>
          </w:p>
        </w:tc>
        <w:tc>
          <w:tcPr>
            <w:tcW w:w="2420" w:type="dxa"/>
            <w:tcMar>
              <w:top w:w="0" w:type="dxa"/>
              <w:left w:w="108" w:type="dxa"/>
              <w:bottom w:w="0" w:type="dxa"/>
              <w:right w:w="108" w:type="dxa"/>
            </w:tcMar>
            <w:hideMark/>
          </w:tcPr>
          <w:p w14:paraId="6ADD12D7" w14:textId="77777777" w:rsidR="006E5C07" w:rsidRPr="006E5C07" w:rsidRDefault="006E5C07" w:rsidP="006E5C07">
            <w:pPr>
              <w:spacing w:after="0" w:line="240" w:lineRule="auto"/>
              <w:jc w:val="right"/>
              <w:rPr>
                <w:rFonts w:ascii="Calibri" w:eastAsia="Times New Roman" w:hAnsi="Calibri" w:cs="Calibri"/>
              </w:rPr>
            </w:pPr>
          </w:p>
        </w:tc>
        <w:tc>
          <w:tcPr>
            <w:tcW w:w="2205" w:type="dxa"/>
            <w:tcMar>
              <w:top w:w="0" w:type="dxa"/>
              <w:left w:w="108" w:type="dxa"/>
              <w:bottom w:w="0" w:type="dxa"/>
              <w:right w:w="108" w:type="dxa"/>
            </w:tcMar>
            <w:hideMark/>
          </w:tcPr>
          <w:p w14:paraId="3E28ADB4"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32A1FCDF" w14:textId="77777777" w:rsidTr="006E5C07">
        <w:tc>
          <w:tcPr>
            <w:tcW w:w="3753" w:type="dxa"/>
            <w:tcMar>
              <w:top w:w="0" w:type="dxa"/>
              <w:left w:w="108" w:type="dxa"/>
              <w:bottom w:w="0" w:type="dxa"/>
              <w:right w:w="108" w:type="dxa"/>
            </w:tcMar>
            <w:hideMark/>
          </w:tcPr>
          <w:p w14:paraId="4996AFF8"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Diluted (loss) / earnings per share</w:t>
            </w:r>
          </w:p>
        </w:tc>
        <w:tc>
          <w:tcPr>
            <w:tcW w:w="2420" w:type="dxa"/>
            <w:tcMar>
              <w:top w:w="0" w:type="dxa"/>
              <w:left w:w="108" w:type="dxa"/>
              <w:bottom w:w="0" w:type="dxa"/>
              <w:right w:w="108" w:type="dxa"/>
            </w:tcMar>
            <w:hideMark/>
          </w:tcPr>
          <w:p w14:paraId="34E99762" w14:textId="77777777" w:rsidR="006E5C07" w:rsidRPr="006E5C07" w:rsidRDefault="006E5C07" w:rsidP="006E5C07">
            <w:pPr>
              <w:spacing w:after="0" w:line="240" w:lineRule="auto"/>
              <w:rPr>
                <w:rFonts w:ascii="Calibri" w:eastAsia="Times New Roman" w:hAnsi="Calibri" w:cs="Calibri"/>
              </w:rPr>
            </w:pPr>
          </w:p>
        </w:tc>
        <w:tc>
          <w:tcPr>
            <w:tcW w:w="2205" w:type="dxa"/>
            <w:tcMar>
              <w:top w:w="0" w:type="dxa"/>
              <w:left w:w="108" w:type="dxa"/>
              <w:bottom w:w="0" w:type="dxa"/>
              <w:right w:w="108" w:type="dxa"/>
            </w:tcMar>
            <w:hideMark/>
          </w:tcPr>
          <w:p w14:paraId="00615FB9"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16BBE186" w14:textId="77777777" w:rsidTr="006E5C07">
        <w:tc>
          <w:tcPr>
            <w:tcW w:w="3753" w:type="dxa"/>
            <w:tcMar>
              <w:top w:w="0" w:type="dxa"/>
              <w:left w:w="108" w:type="dxa"/>
              <w:bottom w:w="0" w:type="dxa"/>
              <w:right w:w="108" w:type="dxa"/>
            </w:tcMar>
            <w:hideMark/>
          </w:tcPr>
          <w:p w14:paraId="0B6EC77D" w14:textId="77777777" w:rsidR="006E5C07" w:rsidRPr="006E5C07" w:rsidRDefault="006E5C07" w:rsidP="006E5C07">
            <w:pPr>
              <w:spacing w:after="0" w:line="240" w:lineRule="auto"/>
              <w:rPr>
                <w:rFonts w:ascii="Calibri" w:eastAsia="Times New Roman" w:hAnsi="Calibri" w:cs="Calibri"/>
                <w:b/>
                <w:bCs/>
              </w:rPr>
            </w:pPr>
          </w:p>
        </w:tc>
        <w:tc>
          <w:tcPr>
            <w:tcW w:w="2420" w:type="dxa"/>
            <w:tcMar>
              <w:top w:w="0" w:type="dxa"/>
              <w:left w:w="108" w:type="dxa"/>
              <w:bottom w:w="0" w:type="dxa"/>
              <w:right w:w="108" w:type="dxa"/>
            </w:tcMar>
            <w:hideMark/>
          </w:tcPr>
          <w:p w14:paraId="33E7CB6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(7.2)p</w:t>
            </w:r>
          </w:p>
        </w:tc>
        <w:tc>
          <w:tcPr>
            <w:tcW w:w="2205" w:type="dxa"/>
            <w:tcMar>
              <w:top w:w="0" w:type="dxa"/>
              <w:left w:w="108" w:type="dxa"/>
              <w:bottom w:w="0" w:type="dxa"/>
              <w:right w:w="108" w:type="dxa"/>
            </w:tcMar>
            <w:hideMark/>
          </w:tcPr>
          <w:p w14:paraId="5E73ACD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0.3p</w:t>
            </w:r>
          </w:p>
        </w:tc>
      </w:tr>
      <w:tr w:rsidR="006E5C07" w:rsidRPr="006E5C07" w14:paraId="7C63438E" w14:textId="77777777" w:rsidTr="006E5C07">
        <w:trPr>
          <w:trHeight w:val="81"/>
        </w:trPr>
        <w:tc>
          <w:tcPr>
            <w:tcW w:w="3753" w:type="dxa"/>
            <w:tcMar>
              <w:top w:w="0" w:type="dxa"/>
              <w:left w:w="108" w:type="dxa"/>
              <w:bottom w:w="0" w:type="dxa"/>
              <w:right w:w="108" w:type="dxa"/>
            </w:tcMar>
            <w:hideMark/>
          </w:tcPr>
          <w:p w14:paraId="40C7847B"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Before non-recurring charges and discontinued operation</w:t>
            </w:r>
          </w:p>
        </w:tc>
        <w:tc>
          <w:tcPr>
            <w:tcW w:w="2420" w:type="dxa"/>
            <w:tcMar>
              <w:top w:w="0" w:type="dxa"/>
              <w:left w:w="108" w:type="dxa"/>
              <w:bottom w:w="0" w:type="dxa"/>
              <w:right w:w="108" w:type="dxa"/>
            </w:tcMar>
            <w:hideMark/>
          </w:tcPr>
          <w:p w14:paraId="4132425E" w14:textId="77777777" w:rsidR="006E5C07" w:rsidRPr="006E5C07" w:rsidRDefault="006E5C07" w:rsidP="006E5C07">
            <w:pPr>
              <w:spacing w:after="0" w:line="240" w:lineRule="auto"/>
              <w:jc w:val="right"/>
              <w:rPr>
                <w:rFonts w:ascii="Calibri" w:eastAsia="Times New Roman" w:hAnsi="Calibri" w:cs="Calibri"/>
              </w:rPr>
            </w:pPr>
          </w:p>
        </w:tc>
        <w:tc>
          <w:tcPr>
            <w:tcW w:w="2205" w:type="dxa"/>
            <w:tcMar>
              <w:top w:w="0" w:type="dxa"/>
              <w:left w:w="108" w:type="dxa"/>
              <w:bottom w:w="0" w:type="dxa"/>
              <w:right w:w="108" w:type="dxa"/>
            </w:tcMar>
            <w:hideMark/>
          </w:tcPr>
          <w:p w14:paraId="4028E844"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7165314F" w14:textId="77777777" w:rsidTr="006E5C07">
        <w:tc>
          <w:tcPr>
            <w:tcW w:w="3753" w:type="dxa"/>
            <w:tcMar>
              <w:top w:w="0" w:type="dxa"/>
              <w:left w:w="108" w:type="dxa"/>
              <w:bottom w:w="0" w:type="dxa"/>
              <w:right w:w="108" w:type="dxa"/>
            </w:tcMar>
            <w:hideMark/>
          </w:tcPr>
          <w:p w14:paraId="07238A09"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After non-recurring charges and discontinued operation</w:t>
            </w:r>
          </w:p>
        </w:tc>
        <w:tc>
          <w:tcPr>
            <w:tcW w:w="2420" w:type="dxa"/>
            <w:tcMar>
              <w:top w:w="0" w:type="dxa"/>
              <w:left w:w="108" w:type="dxa"/>
              <w:bottom w:w="0" w:type="dxa"/>
              <w:right w:w="108" w:type="dxa"/>
            </w:tcMar>
            <w:hideMark/>
          </w:tcPr>
          <w:p w14:paraId="7973410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(17.2)p</w:t>
            </w:r>
          </w:p>
        </w:tc>
        <w:tc>
          <w:tcPr>
            <w:tcW w:w="2205" w:type="dxa"/>
            <w:tcMar>
              <w:top w:w="0" w:type="dxa"/>
              <w:left w:w="108" w:type="dxa"/>
              <w:bottom w:w="0" w:type="dxa"/>
              <w:right w:w="108" w:type="dxa"/>
            </w:tcMar>
            <w:hideMark/>
          </w:tcPr>
          <w:p w14:paraId="5592878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0.3p</w:t>
            </w:r>
          </w:p>
        </w:tc>
      </w:tr>
    </w:tbl>
    <w:p w14:paraId="52218E8C" w14:textId="77777777" w:rsidR="006E5C07" w:rsidRPr="006E5C07" w:rsidRDefault="006E5C07" w:rsidP="006E5C07">
      <w:pPr>
        <w:spacing w:after="0" w:line="240" w:lineRule="auto"/>
        <w:jc w:val="both"/>
        <w:rPr>
          <w:rFonts w:ascii="Times New Roman" w:eastAsia="Times New Roman" w:hAnsi="Times New Roman" w:cs="Times New Roman"/>
          <w:color w:val="000000"/>
          <w:sz w:val="20"/>
          <w:szCs w:val="20"/>
        </w:rPr>
      </w:pPr>
      <w:r w:rsidRPr="006E5C07">
        <w:rPr>
          <w:rFonts w:ascii="Gill Sans MT" w:eastAsia="Times New Roman" w:hAnsi="Gill Sans MT" w:cs="Times New Roman"/>
          <w:sz w:val="18"/>
          <w:szCs w:val="18"/>
        </w:rPr>
        <w:t> </w:t>
      </w:r>
    </w:p>
    <w:p w14:paraId="6C666B98" w14:textId="77777777" w:rsidR="006E5C07" w:rsidRPr="006E5C07" w:rsidRDefault="006E5C07" w:rsidP="006E5C07">
      <w:pPr>
        <w:spacing w:after="0" w:line="240" w:lineRule="auto"/>
        <w:jc w:val="both"/>
        <w:rPr>
          <w:rFonts w:ascii="Times New Roman" w:eastAsia="Times New Roman" w:hAnsi="Times New Roman" w:cs="Times New Roman"/>
          <w:b/>
          <w:bCs/>
          <w:color w:val="000000"/>
          <w:sz w:val="20"/>
          <w:szCs w:val="20"/>
        </w:rPr>
      </w:pPr>
      <w:r w:rsidRPr="006E5C07">
        <w:rPr>
          <w:rFonts w:ascii="Gill Sans MT" w:eastAsia="Times New Roman" w:hAnsi="Gill Sans MT" w:cs="Times New Roman"/>
          <w:b/>
          <w:bCs/>
          <w:sz w:val="18"/>
          <w:szCs w:val="18"/>
        </w:rPr>
        <w:t>Basic earnings per share</w:t>
      </w:r>
    </w:p>
    <w:p w14:paraId="303AA526" w14:textId="77777777" w:rsidR="006E5C07" w:rsidRPr="006E5C07" w:rsidRDefault="006E5C07" w:rsidP="006E5C07">
      <w:pPr>
        <w:spacing w:after="0" w:line="240" w:lineRule="auto"/>
        <w:jc w:val="both"/>
        <w:rPr>
          <w:rFonts w:ascii="Times New Roman" w:eastAsia="Times New Roman" w:hAnsi="Times New Roman" w:cs="Times New Roman"/>
          <w:color w:val="000000"/>
          <w:sz w:val="20"/>
          <w:szCs w:val="20"/>
        </w:rPr>
      </w:pPr>
      <w:r w:rsidRPr="006E5C07">
        <w:rPr>
          <w:rFonts w:ascii="Gill Sans MT" w:eastAsia="Times New Roman" w:hAnsi="Gill Sans MT" w:cs="Times New Roman"/>
          <w:sz w:val="18"/>
          <w:szCs w:val="18"/>
        </w:rPr>
        <w:t> </w:t>
      </w:r>
    </w:p>
    <w:p w14:paraId="54DE7141" w14:textId="77777777" w:rsidR="006E5C07" w:rsidRPr="006E5C07" w:rsidRDefault="006E5C07" w:rsidP="006E5C07">
      <w:pPr>
        <w:spacing w:after="0" w:line="240" w:lineRule="auto"/>
        <w:jc w:val="both"/>
        <w:rPr>
          <w:rFonts w:ascii="Times New Roman" w:eastAsia="Times New Roman" w:hAnsi="Times New Roman" w:cs="Times New Roman"/>
          <w:color w:val="000000"/>
          <w:sz w:val="20"/>
          <w:szCs w:val="20"/>
        </w:rPr>
      </w:pPr>
      <w:r w:rsidRPr="006E5C07">
        <w:rPr>
          <w:rFonts w:ascii="Gill Sans MT" w:eastAsia="Times New Roman" w:hAnsi="Gill Sans MT" w:cs="Times New Roman"/>
          <w:sz w:val="18"/>
          <w:szCs w:val="18"/>
        </w:rPr>
        <w:t>The earnings and weighted average number of ordinary shares used in the calculation of basic earnings per share are as follows:</w:t>
      </w:r>
    </w:p>
    <w:p w14:paraId="74ABAB45" w14:textId="77777777" w:rsidR="006E5C07" w:rsidRPr="006E5C07" w:rsidRDefault="006E5C07" w:rsidP="006E5C07">
      <w:pPr>
        <w:spacing w:line="240" w:lineRule="auto"/>
        <w:jc w:val="both"/>
        <w:rPr>
          <w:rFonts w:ascii="Times New Roman" w:eastAsia="Times New Roman" w:hAnsi="Times New Roman" w:cs="Times New Roman"/>
          <w:color w:val="000000"/>
          <w:sz w:val="20"/>
          <w:szCs w:val="20"/>
        </w:rPr>
      </w:pPr>
      <w:r w:rsidRPr="006E5C07">
        <w:rPr>
          <w:rFonts w:ascii="Gill Sans MT" w:eastAsia="Times New Roman" w:hAnsi="Gill Sans MT" w:cs="Times New Roman"/>
          <w:sz w:val="18"/>
          <w:szCs w:val="18"/>
        </w:rPr>
        <w:t> </w:t>
      </w:r>
    </w:p>
    <w:tbl>
      <w:tblPr>
        <w:tblW w:w="0" w:type="auto"/>
        <w:tblInd w:w="-108" w:type="dxa"/>
        <w:tblCellMar>
          <w:left w:w="0" w:type="dxa"/>
          <w:right w:w="0" w:type="dxa"/>
        </w:tblCellMar>
        <w:tblLook w:val="04A0" w:firstRow="1" w:lastRow="0" w:firstColumn="1" w:lastColumn="0" w:noHBand="0" w:noVBand="1"/>
      </w:tblPr>
      <w:tblGrid>
        <w:gridCol w:w="3756"/>
        <w:gridCol w:w="2419"/>
        <w:gridCol w:w="2203"/>
      </w:tblGrid>
      <w:tr w:rsidR="006E5C07" w:rsidRPr="006E5C07" w14:paraId="619615BD" w14:textId="77777777" w:rsidTr="006E5C07">
        <w:tc>
          <w:tcPr>
            <w:tcW w:w="3756" w:type="dxa"/>
            <w:tcMar>
              <w:top w:w="0" w:type="dxa"/>
              <w:left w:w="108" w:type="dxa"/>
              <w:bottom w:w="0" w:type="dxa"/>
              <w:right w:w="108" w:type="dxa"/>
            </w:tcMar>
            <w:hideMark/>
          </w:tcPr>
          <w:p w14:paraId="78D65C0A" w14:textId="77777777" w:rsidR="006E5C07" w:rsidRPr="006E5C07" w:rsidRDefault="006E5C07" w:rsidP="006E5C07">
            <w:pPr>
              <w:spacing w:after="0" w:line="240" w:lineRule="auto"/>
              <w:jc w:val="right"/>
              <w:rPr>
                <w:rFonts w:ascii="Calibri" w:eastAsia="Times New Roman" w:hAnsi="Calibri" w:cs="Calibri"/>
                <w:b/>
                <w:bCs/>
              </w:rPr>
            </w:pPr>
          </w:p>
        </w:tc>
        <w:tc>
          <w:tcPr>
            <w:tcW w:w="2419" w:type="dxa"/>
            <w:tcMar>
              <w:top w:w="0" w:type="dxa"/>
              <w:left w:w="108" w:type="dxa"/>
              <w:bottom w:w="0" w:type="dxa"/>
              <w:right w:w="108" w:type="dxa"/>
            </w:tcMar>
            <w:hideMark/>
          </w:tcPr>
          <w:p w14:paraId="5295F41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c>
          <w:tcPr>
            <w:tcW w:w="2203" w:type="dxa"/>
            <w:tcMar>
              <w:top w:w="0" w:type="dxa"/>
              <w:left w:w="108" w:type="dxa"/>
              <w:bottom w:w="0" w:type="dxa"/>
              <w:right w:w="108" w:type="dxa"/>
            </w:tcMar>
            <w:hideMark/>
          </w:tcPr>
          <w:p w14:paraId="5DC1744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r>
      <w:tr w:rsidR="006E5C07" w:rsidRPr="006E5C07" w14:paraId="50D49DA8" w14:textId="77777777" w:rsidTr="006E5C07">
        <w:tc>
          <w:tcPr>
            <w:tcW w:w="3756" w:type="dxa"/>
            <w:tcMar>
              <w:top w:w="0" w:type="dxa"/>
              <w:left w:w="108" w:type="dxa"/>
              <w:bottom w:w="0" w:type="dxa"/>
              <w:right w:w="108" w:type="dxa"/>
            </w:tcMar>
            <w:hideMark/>
          </w:tcPr>
          <w:p w14:paraId="55CCE6F9" w14:textId="77777777" w:rsidR="006E5C07" w:rsidRPr="006E5C07" w:rsidRDefault="006E5C07" w:rsidP="006E5C07">
            <w:pPr>
              <w:spacing w:after="0" w:line="240" w:lineRule="auto"/>
              <w:jc w:val="right"/>
              <w:rPr>
                <w:rFonts w:ascii="Calibri" w:eastAsia="Times New Roman" w:hAnsi="Calibri" w:cs="Calibri"/>
                <w:b/>
                <w:bCs/>
              </w:rPr>
            </w:pPr>
          </w:p>
        </w:tc>
        <w:tc>
          <w:tcPr>
            <w:tcW w:w="2419" w:type="dxa"/>
            <w:tcMar>
              <w:top w:w="0" w:type="dxa"/>
              <w:left w:w="108" w:type="dxa"/>
              <w:bottom w:w="0" w:type="dxa"/>
              <w:right w:w="108" w:type="dxa"/>
            </w:tcMar>
            <w:hideMark/>
          </w:tcPr>
          <w:p w14:paraId="30C5CD3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'20</w:t>
            </w:r>
          </w:p>
        </w:tc>
        <w:tc>
          <w:tcPr>
            <w:tcW w:w="2203" w:type="dxa"/>
            <w:tcMar>
              <w:top w:w="0" w:type="dxa"/>
              <w:left w:w="108" w:type="dxa"/>
              <w:bottom w:w="0" w:type="dxa"/>
              <w:right w:w="108" w:type="dxa"/>
            </w:tcMar>
            <w:hideMark/>
          </w:tcPr>
          <w:p w14:paraId="2F5E093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'19</w:t>
            </w:r>
          </w:p>
          <w:p w14:paraId="4593C40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as restated</w:t>
            </w:r>
          </w:p>
        </w:tc>
      </w:tr>
      <w:tr w:rsidR="006E5C07" w:rsidRPr="006E5C07" w14:paraId="7E1D352F" w14:textId="77777777" w:rsidTr="006E5C07">
        <w:tc>
          <w:tcPr>
            <w:tcW w:w="3756" w:type="dxa"/>
            <w:tcMar>
              <w:top w:w="0" w:type="dxa"/>
              <w:left w:w="108" w:type="dxa"/>
              <w:bottom w:w="0" w:type="dxa"/>
              <w:right w:w="108" w:type="dxa"/>
            </w:tcMar>
            <w:hideMark/>
          </w:tcPr>
          <w:p w14:paraId="07B110B3" w14:textId="77777777" w:rsidR="006E5C07" w:rsidRPr="006E5C07" w:rsidRDefault="006E5C07" w:rsidP="006E5C07">
            <w:pPr>
              <w:spacing w:after="0" w:line="240" w:lineRule="auto"/>
              <w:jc w:val="right"/>
              <w:rPr>
                <w:rFonts w:ascii="Calibri" w:eastAsia="Times New Roman" w:hAnsi="Calibri" w:cs="Calibri"/>
                <w:b/>
                <w:bCs/>
              </w:rPr>
            </w:pPr>
          </w:p>
        </w:tc>
        <w:tc>
          <w:tcPr>
            <w:tcW w:w="2419" w:type="dxa"/>
            <w:tcMar>
              <w:top w:w="0" w:type="dxa"/>
              <w:left w:w="108" w:type="dxa"/>
              <w:bottom w:w="0" w:type="dxa"/>
              <w:right w:w="108" w:type="dxa"/>
            </w:tcMar>
            <w:hideMark/>
          </w:tcPr>
          <w:p w14:paraId="2EDA4E4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2203" w:type="dxa"/>
            <w:tcMar>
              <w:top w:w="0" w:type="dxa"/>
              <w:left w:w="108" w:type="dxa"/>
              <w:bottom w:w="0" w:type="dxa"/>
              <w:right w:w="108" w:type="dxa"/>
            </w:tcMar>
            <w:hideMark/>
          </w:tcPr>
          <w:p w14:paraId="07F932C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5C158DA2" w14:textId="77777777" w:rsidTr="006E5C07">
        <w:tc>
          <w:tcPr>
            <w:tcW w:w="3756" w:type="dxa"/>
            <w:tcMar>
              <w:top w:w="0" w:type="dxa"/>
              <w:left w:w="108" w:type="dxa"/>
              <w:bottom w:w="0" w:type="dxa"/>
              <w:right w:w="108" w:type="dxa"/>
            </w:tcMar>
            <w:hideMark/>
          </w:tcPr>
          <w:p w14:paraId="418E3DD1" w14:textId="77777777" w:rsidR="006E5C07" w:rsidRPr="006E5C07" w:rsidRDefault="006E5C07" w:rsidP="006E5C07">
            <w:pPr>
              <w:spacing w:after="0" w:line="240" w:lineRule="auto"/>
              <w:jc w:val="right"/>
              <w:rPr>
                <w:rFonts w:ascii="Calibri" w:eastAsia="Times New Roman" w:hAnsi="Calibri" w:cs="Calibri"/>
                <w:b/>
                <w:bCs/>
              </w:rPr>
            </w:pPr>
          </w:p>
        </w:tc>
        <w:tc>
          <w:tcPr>
            <w:tcW w:w="2419" w:type="dxa"/>
            <w:tcMar>
              <w:top w:w="0" w:type="dxa"/>
              <w:left w:w="108" w:type="dxa"/>
              <w:bottom w:w="0" w:type="dxa"/>
              <w:right w:w="108" w:type="dxa"/>
            </w:tcMar>
            <w:hideMark/>
          </w:tcPr>
          <w:p w14:paraId="08E64A94" w14:textId="77777777" w:rsidR="006E5C07" w:rsidRPr="006E5C07" w:rsidRDefault="006E5C07" w:rsidP="006E5C07">
            <w:pPr>
              <w:spacing w:after="0" w:line="240" w:lineRule="auto"/>
              <w:jc w:val="right"/>
              <w:rPr>
                <w:rFonts w:ascii="Calibri" w:eastAsia="Times New Roman" w:hAnsi="Calibri" w:cs="Calibri"/>
              </w:rPr>
            </w:pPr>
          </w:p>
        </w:tc>
        <w:tc>
          <w:tcPr>
            <w:tcW w:w="2203" w:type="dxa"/>
            <w:tcMar>
              <w:top w:w="0" w:type="dxa"/>
              <w:left w:w="108" w:type="dxa"/>
              <w:bottom w:w="0" w:type="dxa"/>
              <w:right w:w="108" w:type="dxa"/>
            </w:tcMar>
            <w:hideMark/>
          </w:tcPr>
          <w:p w14:paraId="05C7C678"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05FE7A62" w14:textId="77777777" w:rsidTr="006E5C07">
        <w:tc>
          <w:tcPr>
            <w:tcW w:w="3756" w:type="dxa"/>
            <w:tcMar>
              <w:top w:w="0" w:type="dxa"/>
              <w:left w:w="108" w:type="dxa"/>
              <w:bottom w:w="0" w:type="dxa"/>
              <w:right w:w="108" w:type="dxa"/>
            </w:tcMar>
            <w:hideMark/>
          </w:tcPr>
          <w:p w14:paraId="41E767D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(Loss) / profit after tax for the period attributable to owners of the Company</w:t>
            </w:r>
          </w:p>
        </w:tc>
        <w:tc>
          <w:tcPr>
            <w:tcW w:w="2419" w:type="dxa"/>
            <w:tcMar>
              <w:top w:w="0" w:type="dxa"/>
              <w:left w:w="108" w:type="dxa"/>
              <w:bottom w:w="0" w:type="dxa"/>
              <w:right w:w="108" w:type="dxa"/>
            </w:tcMar>
            <w:hideMark/>
          </w:tcPr>
          <w:p w14:paraId="6587F48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(3,355)</w:t>
            </w:r>
          </w:p>
        </w:tc>
        <w:tc>
          <w:tcPr>
            <w:tcW w:w="2203" w:type="dxa"/>
            <w:tcMar>
              <w:top w:w="0" w:type="dxa"/>
              <w:left w:w="108" w:type="dxa"/>
              <w:bottom w:w="0" w:type="dxa"/>
              <w:right w:w="108" w:type="dxa"/>
            </w:tcMar>
            <w:hideMark/>
          </w:tcPr>
          <w:p w14:paraId="2BBCD32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60</w:t>
            </w:r>
          </w:p>
        </w:tc>
      </w:tr>
      <w:tr w:rsidR="006E5C07" w:rsidRPr="006E5C07" w14:paraId="0B6D9DFD" w14:textId="77777777" w:rsidTr="006E5C07">
        <w:tc>
          <w:tcPr>
            <w:tcW w:w="3756" w:type="dxa"/>
            <w:tcMar>
              <w:top w:w="0" w:type="dxa"/>
              <w:left w:w="108" w:type="dxa"/>
              <w:bottom w:w="0" w:type="dxa"/>
              <w:right w:w="108" w:type="dxa"/>
            </w:tcMar>
            <w:hideMark/>
          </w:tcPr>
          <w:p w14:paraId="0EA9BFF2"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p w14:paraId="21355F30"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Non-recurring charges</w:t>
            </w:r>
          </w:p>
          <w:p w14:paraId="179177B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p w14:paraId="42AAD26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Discontinued operation</w:t>
            </w:r>
          </w:p>
          <w:p w14:paraId="2E562C88"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(Loss) / profit after tax for the period before non-recurring charges attributable to owners of the company</w:t>
            </w:r>
          </w:p>
          <w:p w14:paraId="3AF72DF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p w14:paraId="37AACD99"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p w14:paraId="2E9E25E6"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p w14:paraId="0420AEB1"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p w14:paraId="74DA7060"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tc>
        <w:tc>
          <w:tcPr>
            <w:tcW w:w="2419" w:type="dxa"/>
            <w:tcMar>
              <w:top w:w="0" w:type="dxa"/>
              <w:left w:w="108" w:type="dxa"/>
              <w:bottom w:w="0" w:type="dxa"/>
              <w:right w:w="108" w:type="dxa"/>
            </w:tcMar>
            <w:hideMark/>
          </w:tcPr>
          <w:p w14:paraId="7B15F5E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14888A6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1,442</w:t>
            </w:r>
          </w:p>
          <w:p w14:paraId="553223E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7F990FC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512</w:t>
            </w:r>
          </w:p>
          <w:p w14:paraId="2DFEB5C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1F90A2E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(1,401)</w:t>
            </w:r>
          </w:p>
        </w:tc>
        <w:tc>
          <w:tcPr>
            <w:tcW w:w="2203" w:type="dxa"/>
            <w:tcMar>
              <w:top w:w="0" w:type="dxa"/>
              <w:left w:w="108" w:type="dxa"/>
              <w:bottom w:w="0" w:type="dxa"/>
              <w:right w:w="108" w:type="dxa"/>
            </w:tcMar>
            <w:hideMark/>
          </w:tcPr>
          <w:p w14:paraId="0AC7662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1EA7541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p w14:paraId="1450DED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7D82206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04219C4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18763F7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60</w:t>
            </w:r>
          </w:p>
        </w:tc>
      </w:tr>
      <w:tr w:rsidR="006E5C07" w:rsidRPr="006E5C07" w14:paraId="23B39111" w14:textId="77777777" w:rsidTr="006E5C07">
        <w:tc>
          <w:tcPr>
            <w:tcW w:w="3756" w:type="dxa"/>
            <w:tcMar>
              <w:top w:w="0" w:type="dxa"/>
              <w:left w:w="108" w:type="dxa"/>
              <w:bottom w:w="0" w:type="dxa"/>
              <w:right w:w="108" w:type="dxa"/>
            </w:tcMar>
            <w:hideMark/>
          </w:tcPr>
          <w:p w14:paraId="075299A7" w14:textId="77777777" w:rsidR="006E5C07" w:rsidRPr="006E5C07" w:rsidRDefault="006E5C07" w:rsidP="006E5C07">
            <w:pPr>
              <w:spacing w:after="0" w:line="240" w:lineRule="auto"/>
              <w:rPr>
                <w:rFonts w:ascii="Calibri" w:eastAsia="Times New Roman" w:hAnsi="Calibri" w:cs="Calibri"/>
              </w:rPr>
            </w:pPr>
          </w:p>
        </w:tc>
        <w:tc>
          <w:tcPr>
            <w:tcW w:w="2419" w:type="dxa"/>
            <w:tcMar>
              <w:top w:w="0" w:type="dxa"/>
              <w:left w:w="108" w:type="dxa"/>
              <w:bottom w:w="0" w:type="dxa"/>
              <w:right w:w="108" w:type="dxa"/>
            </w:tcMar>
            <w:hideMark/>
          </w:tcPr>
          <w:p w14:paraId="06DD4BA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c>
          <w:tcPr>
            <w:tcW w:w="2203" w:type="dxa"/>
            <w:tcMar>
              <w:top w:w="0" w:type="dxa"/>
              <w:left w:w="108" w:type="dxa"/>
              <w:bottom w:w="0" w:type="dxa"/>
              <w:right w:w="108" w:type="dxa"/>
            </w:tcMar>
            <w:hideMark/>
          </w:tcPr>
          <w:p w14:paraId="72AAF63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r>
      <w:tr w:rsidR="006E5C07" w:rsidRPr="006E5C07" w14:paraId="2FC02C15" w14:textId="77777777" w:rsidTr="006E5C07">
        <w:tc>
          <w:tcPr>
            <w:tcW w:w="3756" w:type="dxa"/>
            <w:tcMar>
              <w:top w:w="0" w:type="dxa"/>
              <w:left w:w="108" w:type="dxa"/>
              <w:bottom w:w="0" w:type="dxa"/>
              <w:right w:w="108" w:type="dxa"/>
            </w:tcMar>
            <w:hideMark/>
          </w:tcPr>
          <w:p w14:paraId="3AD0F5F1" w14:textId="77777777" w:rsidR="006E5C07" w:rsidRPr="006E5C07" w:rsidRDefault="006E5C07" w:rsidP="006E5C07">
            <w:pPr>
              <w:spacing w:after="0" w:line="240" w:lineRule="auto"/>
              <w:rPr>
                <w:rFonts w:ascii="Calibri" w:eastAsia="Times New Roman" w:hAnsi="Calibri" w:cs="Calibri"/>
              </w:rPr>
            </w:pPr>
          </w:p>
        </w:tc>
        <w:tc>
          <w:tcPr>
            <w:tcW w:w="2419" w:type="dxa"/>
            <w:tcMar>
              <w:top w:w="0" w:type="dxa"/>
              <w:left w:w="108" w:type="dxa"/>
              <w:bottom w:w="0" w:type="dxa"/>
              <w:right w:w="108" w:type="dxa"/>
            </w:tcMar>
            <w:hideMark/>
          </w:tcPr>
          <w:p w14:paraId="7D78044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'20</w:t>
            </w:r>
          </w:p>
        </w:tc>
        <w:tc>
          <w:tcPr>
            <w:tcW w:w="2203" w:type="dxa"/>
            <w:tcMar>
              <w:top w:w="0" w:type="dxa"/>
              <w:left w:w="108" w:type="dxa"/>
              <w:bottom w:w="0" w:type="dxa"/>
              <w:right w:w="108" w:type="dxa"/>
            </w:tcMar>
            <w:hideMark/>
          </w:tcPr>
          <w:p w14:paraId="0049F17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'19</w:t>
            </w:r>
          </w:p>
        </w:tc>
      </w:tr>
      <w:tr w:rsidR="006E5C07" w:rsidRPr="006E5C07" w14:paraId="4FA604E4" w14:textId="77777777" w:rsidTr="006E5C07">
        <w:tc>
          <w:tcPr>
            <w:tcW w:w="3756" w:type="dxa"/>
            <w:tcMar>
              <w:top w:w="0" w:type="dxa"/>
              <w:left w:w="108" w:type="dxa"/>
              <w:bottom w:w="0" w:type="dxa"/>
              <w:right w:w="108" w:type="dxa"/>
            </w:tcMar>
            <w:hideMark/>
          </w:tcPr>
          <w:p w14:paraId="7A67E5A9" w14:textId="77777777" w:rsidR="006E5C07" w:rsidRPr="006E5C07" w:rsidRDefault="006E5C07" w:rsidP="006E5C07">
            <w:pPr>
              <w:spacing w:after="0" w:line="240" w:lineRule="auto"/>
              <w:rPr>
                <w:rFonts w:ascii="Calibri" w:eastAsia="Times New Roman" w:hAnsi="Calibri" w:cs="Calibri"/>
              </w:rPr>
            </w:pPr>
          </w:p>
        </w:tc>
        <w:tc>
          <w:tcPr>
            <w:tcW w:w="2419" w:type="dxa"/>
            <w:tcMar>
              <w:top w:w="0" w:type="dxa"/>
              <w:left w:w="108" w:type="dxa"/>
              <w:bottom w:w="0" w:type="dxa"/>
              <w:right w:w="108" w:type="dxa"/>
            </w:tcMar>
            <w:hideMark/>
          </w:tcPr>
          <w:p w14:paraId="7EE2904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2203" w:type="dxa"/>
            <w:tcMar>
              <w:top w:w="0" w:type="dxa"/>
              <w:left w:w="108" w:type="dxa"/>
              <w:bottom w:w="0" w:type="dxa"/>
              <w:right w:w="108" w:type="dxa"/>
            </w:tcMar>
            <w:hideMark/>
          </w:tcPr>
          <w:p w14:paraId="54C61F2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3AD77D8F" w14:textId="77777777" w:rsidTr="006E5C07">
        <w:tc>
          <w:tcPr>
            <w:tcW w:w="3756" w:type="dxa"/>
            <w:tcMar>
              <w:top w:w="0" w:type="dxa"/>
              <w:left w:w="108" w:type="dxa"/>
              <w:bottom w:w="0" w:type="dxa"/>
              <w:right w:w="108" w:type="dxa"/>
            </w:tcMar>
            <w:hideMark/>
          </w:tcPr>
          <w:p w14:paraId="2F1683FC" w14:textId="77777777" w:rsidR="006E5C07" w:rsidRPr="006E5C07" w:rsidRDefault="006E5C07" w:rsidP="006E5C07">
            <w:pPr>
              <w:spacing w:after="0" w:line="240" w:lineRule="auto"/>
              <w:rPr>
                <w:rFonts w:ascii="Calibri" w:eastAsia="Times New Roman" w:hAnsi="Calibri" w:cs="Calibri"/>
              </w:rPr>
            </w:pPr>
          </w:p>
        </w:tc>
        <w:tc>
          <w:tcPr>
            <w:tcW w:w="2419" w:type="dxa"/>
            <w:tcMar>
              <w:top w:w="0" w:type="dxa"/>
              <w:left w:w="108" w:type="dxa"/>
              <w:bottom w:w="0" w:type="dxa"/>
              <w:right w:w="108" w:type="dxa"/>
            </w:tcMar>
            <w:hideMark/>
          </w:tcPr>
          <w:p w14:paraId="0DD21645" w14:textId="77777777" w:rsidR="006E5C07" w:rsidRPr="006E5C07" w:rsidRDefault="006E5C07" w:rsidP="006E5C07">
            <w:pPr>
              <w:spacing w:after="0" w:line="240" w:lineRule="auto"/>
              <w:jc w:val="right"/>
              <w:rPr>
                <w:rFonts w:ascii="Calibri" w:eastAsia="Times New Roman" w:hAnsi="Calibri" w:cs="Calibri"/>
              </w:rPr>
            </w:pPr>
          </w:p>
        </w:tc>
        <w:tc>
          <w:tcPr>
            <w:tcW w:w="2203" w:type="dxa"/>
            <w:tcMar>
              <w:top w:w="0" w:type="dxa"/>
              <w:left w:w="108" w:type="dxa"/>
              <w:bottom w:w="0" w:type="dxa"/>
              <w:right w:w="108" w:type="dxa"/>
            </w:tcMar>
            <w:hideMark/>
          </w:tcPr>
          <w:p w14:paraId="4FACFFA0"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24C6B7B2" w14:textId="77777777" w:rsidTr="006E5C07">
        <w:tc>
          <w:tcPr>
            <w:tcW w:w="3756" w:type="dxa"/>
            <w:tcMar>
              <w:top w:w="0" w:type="dxa"/>
              <w:left w:w="108" w:type="dxa"/>
              <w:bottom w:w="0" w:type="dxa"/>
              <w:right w:w="108" w:type="dxa"/>
            </w:tcMar>
            <w:hideMark/>
          </w:tcPr>
          <w:p w14:paraId="77F8A805"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Weighted average number of ordinary shares</w:t>
            </w:r>
          </w:p>
        </w:tc>
        <w:tc>
          <w:tcPr>
            <w:tcW w:w="2419" w:type="dxa"/>
            <w:tcMar>
              <w:top w:w="0" w:type="dxa"/>
              <w:left w:w="108" w:type="dxa"/>
              <w:bottom w:w="0" w:type="dxa"/>
              <w:right w:w="108" w:type="dxa"/>
            </w:tcMar>
            <w:hideMark/>
          </w:tcPr>
          <w:p w14:paraId="1952B63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19,520</w:t>
            </w:r>
          </w:p>
        </w:tc>
        <w:tc>
          <w:tcPr>
            <w:tcW w:w="2203" w:type="dxa"/>
            <w:tcMar>
              <w:top w:w="0" w:type="dxa"/>
              <w:left w:w="108" w:type="dxa"/>
              <w:bottom w:w="0" w:type="dxa"/>
              <w:right w:w="108" w:type="dxa"/>
            </w:tcMar>
            <w:hideMark/>
          </w:tcPr>
          <w:p w14:paraId="1524185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19,520</w:t>
            </w:r>
          </w:p>
        </w:tc>
      </w:tr>
      <w:tr w:rsidR="006E5C07" w:rsidRPr="006E5C07" w14:paraId="2926FEB3" w14:textId="77777777" w:rsidTr="006E5C07">
        <w:tc>
          <w:tcPr>
            <w:tcW w:w="3756" w:type="dxa"/>
            <w:tcMar>
              <w:top w:w="0" w:type="dxa"/>
              <w:left w:w="108" w:type="dxa"/>
              <w:bottom w:w="0" w:type="dxa"/>
              <w:right w:w="108" w:type="dxa"/>
            </w:tcMar>
            <w:hideMark/>
          </w:tcPr>
          <w:p w14:paraId="7681E55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for the purposes of basic earnings per share</w:t>
            </w:r>
          </w:p>
        </w:tc>
        <w:tc>
          <w:tcPr>
            <w:tcW w:w="2419" w:type="dxa"/>
            <w:tcMar>
              <w:top w:w="0" w:type="dxa"/>
              <w:left w:w="108" w:type="dxa"/>
              <w:bottom w:w="0" w:type="dxa"/>
              <w:right w:w="108" w:type="dxa"/>
            </w:tcMar>
            <w:hideMark/>
          </w:tcPr>
          <w:p w14:paraId="7047B429" w14:textId="77777777" w:rsidR="006E5C07" w:rsidRPr="006E5C07" w:rsidRDefault="006E5C07" w:rsidP="006E5C07">
            <w:pPr>
              <w:spacing w:after="0" w:line="240" w:lineRule="auto"/>
              <w:jc w:val="right"/>
              <w:rPr>
                <w:rFonts w:ascii="Calibri" w:eastAsia="Times New Roman" w:hAnsi="Calibri" w:cs="Calibri"/>
              </w:rPr>
            </w:pPr>
          </w:p>
        </w:tc>
        <w:tc>
          <w:tcPr>
            <w:tcW w:w="2203" w:type="dxa"/>
            <w:tcMar>
              <w:top w:w="0" w:type="dxa"/>
              <w:left w:w="108" w:type="dxa"/>
              <w:bottom w:w="0" w:type="dxa"/>
              <w:right w:w="108" w:type="dxa"/>
            </w:tcMar>
            <w:hideMark/>
          </w:tcPr>
          <w:p w14:paraId="09D7716C" w14:textId="77777777" w:rsidR="006E5C07" w:rsidRPr="006E5C07" w:rsidRDefault="006E5C07" w:rsidP="006E5C07">
            <w:pPr>
              <w:spacing w:after="0" w:line="240" w:lineRule="auto"/>
              <w:jc w:val="right"/>
              <w:rPr>
                <w:rFonts w:ascii="Calibri" w:eastAsia="Times New Roman" w:hAnsi="Calibri" w:cs="Calibri"/>
              </w:rPr>
            </w:pPr>
          </w:p>
        </w:tc>
      </w:tr>
    </w:tbl>
    <w:p w14:paraId="5805D0EC"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722CDAE7" w14:textId="77777777" w:rsidR="006E5C07" w:rsidRPr="006E5C07" w:rsidRDefault="006E5C07" w:rsidP="006E5C07">
      <w:pPr>
        <w:spacing w:after="0" w:line="240" w:lineRule="auto"/>
        <w:jc w:val="both"/>
        <w:rPr>
          <w:rFonts w:ascii="Times New Roman" w:eastAsia="Times New Roman" w:hAnsi="Times New Roman" w:cs="Times New Roman"/>
          <w:b/>
          <w:bCs/>
          <w:color w:val="000000"/>
          <w:sz w:val="20"/>
          <w:szCs w:val="20"/>
        </w:rPr>
      </w:pPr>
      <w:r w:rsidRPr="006E5C07">
        <w:rPr>
          <w:rFonts w:ascii="Gill Sans MT" w:eastAsia="Times New Roman" w:hAnsi="Gill Sans MT" w:cs="Times New Roman"/>
          <w:b/>
          <w:bCs/>
          <w:sz w:val="18"/>
          <w:szCs w:val="18"/>
        </w:rPr>
        <w:t>Diluted earnings per share</w:t>
      </w:r>
    </w:p>
    <w:p w14:paraId="3DD6C2B5" w14:textId="77777777" w:rsidR="006E5C07" w:rsidRPr="006E5C07" w:rsidRDefault="006E5C07" w:rsidP="006E5C07">
      <w:pPr>
        <w:spacing w:after="0" w:line="240" w:lineRule="auto"/>
        <w:jc w:val="both"/>
        <w:rPr>
          <w:rFonts w:ascii="Times New Roman" w:eastAsia="Times New Roman" w:hAnsi="Times New Roman" w:cs="Times New Roman"/>
          <w:color w:val="000000"/>
          <w:sz w:val="20"/>
          <w:szCs w:val="20"/>
        </w:rPr>
      </w:pPr>
      <w:r w:rsidRPr="006E5C07">
        <w:rPr>
          <w:rFonts w:ascii="Gill Sans MT" w:eastAsia="Times New Roman" w:hAnsi="Gill Sans MT" w:cs="Times New Roman"/>
          <w:sz w:val="18"/>
          <w:szCs w:val="18"/>
        </w:rPr>
        <w:t> </w:t>
      </w:r>
    </w:p>
    <w:p w14:paraId="72F87E15" w14:textId="77777777" w:rsidR="006E5C07" w:rsidRPr="006E5C07" w:rsidRDefault="006E5C07" w:rsidP="006E5C07">
      <w:pPr>
        <w:spacing w:after="0" w:line="240" w:lineRule="auto"/>
        <w:jc w:val="both"/>
        <w:rPr>
          <w:rFonts w:ascii="Times New Roman" w:eastAsia="Times New Roman" w:hAnsi="Times New Roman" w:cs="Times New Roman"/>
          <w:color w:val="000000"/>
          <w:sz w:val="20"/>
          <w:szCs w:val="20"/>
        </w:rPr>
      </w:pPr>
      <w:r w:rsidRPr="006E5C07">
        <w:rPr>
          <w:rFonts w:ascii="Gill Sans MT" w:eastAsia="Times New Roman" w:hAnsi="Gill Sans MT" w:cs="Times New Roman"/>
          <w:sz w:val="18"/>
          <w:szCs w:val="18"/>
        </w:rPr>
        <w:t>The earnings and weighted average number of ordinary shares used in the calculation of diluted earnings per share are as follows:</w:t>
      </w:r>
    </w:p>
    <w:p w14:paraId="4209CDC9" w14:textId="77777777" w:rsidR="006E5C07" w:rsidRPr="006E5C07" w:rsidRDefault="006E5C07" w:rsidP="006E5C07">
      <w:pPr>
        <w:spacing w:line="240" w:lineRule="auto"/>
        <w:jc w:val="both"/>
        <w:rPr>
          <w:rFonts w:ascii="Times New Roman" w:eastAsia="Times New Roman" w:hAnsi="Times New Roman" w:cs="Times New Roman"/>
          <w:color w:val="000000"/>
          <w:sz w:val="20"/>
          <w:szCs w:val="20"/>
        </w:rPr>
      </w:pPr>
      <w:r w:rsidRPr="006E5C07">
        <w:rPr>
          <w:rFonts w:ascii="Gill Sans MT" w:eastAsia="Times New Roman" w:hAnsi="Gill Sans MT" w:cs="Times New Roman"/>
          <w:sz w:val="18"/>
          <w:szCs w:val="18"/>
        </w:rPr>
        <w:t> </w:t>
      </w:r>
    </w:p>
    <w:tbl>
      <w:tblPr>
        <w:tblW w:w="0" w:type="auto"/>
        <w:tblInd w:w="-108" w:type="dxa"/>
        <w:tblCellMar>
          <w:left w:w="0" w:type="dxa"/>
          <w:right w:w="0" w:type="dxa"/>
        </w:tblCellMar>
        <w:tblLook w:val="04A0" w:firstRow="1" w:lastRow="0" w:firstColumn="1" w:lastColumn="0" w:noHBand="0" w:noVBand="1"/>
      </w:tblPr>
      <w:tblGrid>
        <w:gridCol w:w="3756"/>
        <w:gridCol w:w="2419"/>
        <w:gridCol w:w="2203"/>
      </w:tblGrid>
      <w:tr w:rsidR="006E5C07" w:rsidRPr="006E5C07" w14:paraId="0A17D009" w14:textId="77777777" w:rsidTr="006E5C07">
        <w:tc>
          <w:tcPr>
            <w:tcW w:w="3756" w:type="dxa"/>
            <w:tcMar>
              <w:top w:w="0" w:type="dxa"/>
              <w:left w:w="108" w:type="dxa"/>
              <w:bottom w:w="0" w:type="dxa"/>
              <w:right w:w="108" w:type="dxa"/>
            </w:tcMar>
            <w:hideMark/>
          </w:tcPr>
          <w:p w14:paraId="0D287010" w14:textId="77777777" w:rsidR="006E5C07" w:rsidRPr="006E5C07" w:rsidRDefault="006E5C07" w:rsidP="006E5C07">
            <w:pPr>
              <w:spacing w:after="0" w:line="240" w:lineRule="auto"/>
              <w:jc w:val="right"/>
              <w:rPr>
                <w:rFonts w:ascii="Calibri" w:eastAsia="Times New Roman" w:hAnsi="Calibri" w:cs="Calibri"/>
                <w:b/>
                <w:bCs/>
              </w:rPr>
            </w:pPr>
          </w:p>
        </w:tc>
        <w:tc>
          <w:tcPr>
            <w:tcW w:w="2419" w:type="dxa"/>
            <w:tcMar>
              <w:top w:w="0" w:type="dxa"/>
              <w:left w:w="108" w:type="dxa"/>
              <w:bottom w:w="0" w:type="dxa"/>
              <w:right w:w="108" w:type="dxa"/>
            </w:tcMar>
            <w:hideMark/>
          </w:tcPr>
          <w:p w14:paraId="635FD9B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c>
          <w:tcPr>
            <w:tcW w:w="2203" w:type="dxa"/>
            <w:tcMar>
              <w:top w:w="0" w:type="dxa"/>
              <w:left w:w="108" w:type="dxa"/>
              <w:bottom w:w="0" w:type="dxa"/>
              <w:right w:w="108" w:type="dxa"/>
            </w:tcMar>
            <w:hideMark/>
          </w:tcPr>
          <w:p w14:paraId="6F2F713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r>
      <w:tr w:rsidR="006E5C07" w:rsidRPr="006E5C07" w14:paraId="09EC324D" w14:textId="77777777" w:rsidTr="006E5C07">
        <w:tc>
          <w:tcPr>
            <w:tcW w:w="3756" w:type="dxa"/>
            <w:tcMar>
              <w:top w:w="0" w:type="dxa"/>
              <w:left w:w="108" w:type="dxa"/>
              <w:bottom w:w="0" w:type="dxa"/>
              <w:right w:w="108" w:type="dxa"/>
            </w:tcMar>
            <w:hideMark/>
          </w:tcPr>
          <w:p w14:paraId="4E949673" w14:textId="77777777" w:rsidR="006E5C07" w:rsidRPr="006E5C07" w:rsidRDefault="006E5C07" w:rsidP="006E5C07">
            <w:pPr>
              <w:spacing w:after="0" w:line="240" w:lineRule="auto"/>
              <w:jc w:val="right"/>
              <w:rPr>
                <w:rFonts w:ascii="Calibri" w:eastAsia="Times New Roman" w:hAnsi="Calibri" w:cs="Calibri"/>
                <w:b/>
                <w:bCs/>
              </w:rPr>
            </w:pPr>
          </w:p>
        </w:tc>
        <w:tc>
          <w:tcPr>
            <w:tcW w:w="2419" w:type="dxa"/>
            <w:tcMar>
              <w:top w:w="0" w:type="dxa"/>
              <w:left w:w="108" w:type="dxa"/>
              <w:bottom w:w="0" w:type="dxa"/>
              <w:right w:w="108" w:type="dxa"/>
            </w:tcMar>
            <w:hideMark/>
          </w:tcPr>
          <w:p w14:paraId="355CA7E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'20</w:t>
            </w:r>
          </w:p>
        </w:tc>
        <w:tc>
          <w:tcPr>
            <w:tcW w:w="2203" w:type="dxa"/>
            <w:tcMar>
              <w:top w:w="0" w:type="dxa"/>
              <w:left w:w="108" w:type="dxa"/>
              <w:bottom w:w="0" w:type="dxa"/>
              <w:right w:w="108" w:type="dxa"/>
            </w:tcMar>
            <w:hideMark/>
          </w:tcPr>
          <w:p w14:paraId="3EA2E30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'19</w:t>
            </w:r>
          </w:p>
        </w:tc>
      </w:tr>
      <w:tr w:rsidR="006E5C07" w:rsidRPr="006E5C07" w14:paraId="7DDB3C88" w14:textId="77777777" w:rsidTr="006E5C07">
        <w:tc>
          <w:tcPr>
            <w:tcW w:w="3756" w:type="dxa"/>
            <w:tcMar>
              <w:top w:w="0" w:type="dxa"/>
              <w:left w:w="108" w:type="dxa"/>
              <w:bottom w:w="0" w:type="dxa"/>
              <w:right w:w="108" w:type="dxa"/>
            </w:tcMar>
            <w:hideMark/>
          </w:tcPr>
          <w:p w14:paraId="455274A3" w14:textId="77777777" w:rsidR="006E5C07" w:rsidRPr="006E5C07" w:rsidRDefault="006E5C07" w:rsidP="006E5C07">
            <w:pPr>
              <w:spacing w:after="0" w:line="240" w:lineRule="auto"/>
              <w:jc w:val="right"/>
              <w:rPr>
                <w:rFonts w:ascii="Calibri" w:eastAsia="Times New Roman" w:hAnsi="Calibri" w:cs="Calibri"/>
                <w:b/>
                <w:bCs/>
              </w:rPr>
            </w:pPr>
          </w:p>
        </w:tc>
        <w:tc>
          <w:tcPr>
            <w:tcW w:w="2419" w:type="dxa"/>
            <w:tcMar>
              <w:top w:w="0" w:type="dxa"/>
              <w:left w:w="108" w:type="dxa"/>
              <w:bottom w:w="0" w:type="dxa"/>
              <w:right w:w="108" w:type="dxa"/>
            </w:tcMar>
            <w:hideMark/>
          </w:tcPr>
          <w:p w14:paraId="075161B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2203" w:type="dxa"/>
            <w:tcMar>
              <w:top w:w="0" w:type="dxa"/>
              <w:left w:w="108" w:type="dxa"/>
              <w:bottom w:w="0" w:type="dxa"/>
              <w:right w:w="108" w:type="dxa"/>
            </w:tcMar>
            <w:hideMark/>
          </w:tcPr>
          <w:p w14:paraId="581D79E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252C7333" w14:textId="77777777" w:rsidTr="006E5C07">
        <w:tc>
          <w:tcPr>
            <w:tcW w:w="3756" w:type="dxa"/>
            <w:tcMar>
              <w:top w:w="0" w:type="dxa"/>
              <w:left w:w="108" w:type="dxa"/>
              <w:bottom w:w="0" w:type="dxa"/>
              <w:right w:w="108" w:type="dxa"/>
            </w:tcMar>
            <w:hideMark/>
          </w:tcPr>
          <w:p w14:paraId="5EAE1987" w14:textId="77777777" w:rsidR="006E5C07" w:rsidRPr="006E5C07" w:rsidRDefault="006E5C07" w:rsidP="006E5C07">
            <w:pPr>
              <w:spacing w:after="0" w:line="240" w:lineRule="auto"/>
              <w:jc w:val="right"/>
              <w:rPr>
                <w:rFonts w:ascii="Calibri" w:eastAsia="Times New Roman" w:hAnsi="Calibri" w:cs="Calibri"/>
                <w:b/>
                <w:bCs/>
              </w:rPr>
            </w:pPr>
          </w:p>
        </w:tc>
        <w:tc>
          <w:tcPr>
            <w:tcW w:w="2419" w:type="dxa"/>
            <w:tcMar>
              <w:top w:w="0" w:type="dxa"/>
              <w:left w:w="108" w:type="dxa"/>
              <w:bottom w:w="0" w:type="dxa"/>
              <w:right w:w="108" w:type="dxa"/>
            </w:tcMar>
            <w:hideMark/>
          </w:tcPr>
          <w:p w14:paraId="58162E14" w14:textId="77777777" w:rsidR="006E5C07" w:rsidRPr="006E5C07" w:rsidRDefault="006E5C07" w:rsidP="006E5C07">
            <w:pPr>
              <w:spacing w:after="0" w:line="240" w:lineRule="auto"/>
              <w:jc w:val="right"/>
              <w:rPr>
                <w:rFonts w:ascii="Calibri" w:eastAsia="Times New Roman" w:hAnsi="Calibri" w:cs="Calibri"/>
              </w:rPr>
            </w:pPr>
          </w:p>
        </w:tc>
        <w:tc>
          <w:tcPr>
            <w:tcW w:w="2203" w:type="dxa"/>
            <w:tcMar>
              <w:top w:w="0" w:type="dxa"/>
              <w:left w:w="108" w:type="dxa"/>
              <w:bottom w:w="0" w:type="dxa"/>
              <w:right w:w="108" w:type="dxa"/>
            </w:tcMar>
            <w:hideMark/>
          </w:tcPr>
          <w:p w14:paraId="65F28D87"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0EF8C7F8" w14:textId="77777777" w:rsidTr="006E5C07">
        <w:tc>
          <w:tcPr>
            <w:tcW w:w="3756" w:type="dxa"/>
            <w:tcMar>
              <w:top w:w="0" w:type="dxa"/>
              <w:left w:w="108" w:type="dxa"/>
              <w:bottom w:w="0" w:type="dxa"/>
              <w:right w:w="108" w:type="dxa"/>
            </w:tcMar>
            <w:hideMark/>
          </w:tcPr>
          <w:p w14:paraId="354C285F"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(Loss) / profit after tax for the period attributable to owners of the Company</w:t>
            </w:r>
          </w:p>
        </w:tc>
        <w:tc>
          <w:tcPr>
            <w:tcW w:w="2419" w:type="dxa"/>
            <w:tcMar>
              <w:top w:w="0" w:type="dxa"/>
              <w:left w:w="108" w:type="dxa"/>
              <w:bottom w:w="0" w:type="dxa"/>
              <w:right w:w="108" w:type="dxa"/>
            </w:tcMar>
            <w:hideMark/>
          </w:tcPr>
          <w:p w14:paraId="45B58AD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(3,355)</w:t>
            </w:r>
          </w:p>
        </w:tc>
        <w:tc>
          <w:tcPr>
            <w:tcW w:w="2203" w:type="dxa"/>
            <w:tcMar>
              <w:top w:w="0" w:type="dxa"/>
              <w:left w:w="108" w:type="dxa"/>
              <w:bottom w:w="0" w:type="dxa"/>
              <w:right w:w="108" w:type="dxa"/>
            </w:tcMar>
            <w:hideMark/>
          </w:tcPr>
          <w:p w14:paraId="609D55F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60</w:t>
            </w:r>
          </w:p>
        </w:tc>
      </w:tr>
      <w:tr w:rsidR="006E5C07" w:rsidRPr="006E5C07" w14:paraId="4A4D7843" w14:textId="77777777" w:rsidTr="006E5C07">
        <w:tc>
          <w:tcPr>
            <w:tcW w:w="3756" w:type="dxa"/>
            <w:tcMar>
              <w:top w:w="0" w:type="dxa"/>
              <w:left w:w="108" w:type="dxa"/>
              <w:bottom w:w="0" w:type="dxa"/>
              <w:right w:w="108" w:type="dxa"/>
            </w:tcMar>
            <w:hideMark/>
          </w:tcPr>
          <w:p w14:paraId="791C2EA3"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p w14:paraId="4936103C"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Non-recurring charges</w:t>
            </w:r>
          </w:p>
          <w:p w14:paraId="3A19B2B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p w14:paraId="06EA56C0"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Discontinued operation</w:t>
            </w:r>
          </w:p>
          <w:p w14:paraId="670EBAAC"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p w14:paraId="3B1C37CB"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(Loss) / profit after tax for the period before non-recurring charges attributable to owners of the company</w:t>
            </w:r>
          </w:p>
          <w:p w14:paraId="44954262"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w:t>
            </w:r>
          </w:p>
        </w:tc>
        <w:tc>
          <w:tcPr>
            <w:tcW w:w="2419" w:type="dxa"/>
            <w:tcMar>
              <w:top w:w="0" w:type="dxa"/>
              <w:left w:w="108" w:type="dxa"/>
              <w:bottom w:w="0" w:type="dxa"/>
              <w:right w:w="108" w:type="dxa"/>
            </w:tcMar>
            <w:hideMark/>
          </w:tcPr>
          <w:p w14:paraId="2D20891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5436EE0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1,442</w:t>
            </w:r>
          </w:p>
          <w:p w14:paraId="5A56336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37FE940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512</w:t>
            </w:r>
          </w:p>
          <w:p w14:paraId="3C812DA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42C03A9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(1,401)</w:t>
            </w:r>
          </w:p>
        </w:tc>
        <w:tc>
          <w:tcPr>
            <w:tcW w:w="2203" w:type="dxa"/>
            <w:tcMar>
              <w:top w:w="0" w:type="dxa"/>
              <w:left w:w="108" w:type="dxa"/>
              <w:bottom w:w="0" w:type="dxa"/>
              <w:right w:w="108" w:type="dxa"/>
            </w:tcMar>
            <w:hideMark/>
          </w:tcPr>
          <w:p w14:paraId="6394F9D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65427DE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p w14:paraId="42E5195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6A09828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p w14:paraId="09E08AA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0633B87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60</w:t>
            </w:r>
          </w:p>
          <w:p w14:paraId="093906AD"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6BC1D2F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p w14:paraId="05C74FC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 </w:t>
            </w:r>
          </w:p>
        </w:tc>
      </w:tr>
      <w:tr w:rsidR="006E5C07" w:rsidRPr="006E5C07" w14:paraId="4D8927ED" w14:textId="77777777" w:rsidTr="006E5C07">
        <w:tc>
          <w:tcPr>
            <w:tcW w:w="3756" w:type="dxa"/>
            <w:tcMar>
              <w:top w:w="0" w:type="dxa"/>
              <w:left w:w="108" w:type="dxa"/>
              <w:bottom w:w="0" w:type="dxa"/>
              <w:right w:w="108" w:type="dxa"/>
            </w:tcMar>
            <w:hideMark/>
          </w:tcPr>
          <w:p w14:paraId="190B87CC" w14:textId="77777777" w:rsidR="006E5C07" w:rsidRPr="006E5C07" w:rsidRDefault="006E5C07" w:rsidP="006E5C07">
            <w:pPr>
              <w:spacing w:after="0" w:line="240" w:lineRule="auto"/>
              <w:rPr>
                <w:rFonts w:ascii="Calibri" w:eastAsia="Times New Roman" w:hAnsi="Calibri" w:cs="Calibri"/>
              </w:rPr>
            </w:pPr>
          </w:p>
        </w:tc>
        <w:tc>
          <w:tcPr>
            <w:tcW w:w="2419" w:type="dxa"/>
            <w:tcMar>
              <w:top w:w="0" w:type="dxa"/>
              <w:left w:w="108" w:type="dxa"/>
              <w:bottom w:w="0" w:type="dxa"/>
              <w:right w:w="108" w:type="dxa"/>
            </w:tcMar>
            <w:hideMark/>
          </w:tcPr>
          <w:p w14:paraId="6A654E5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c>
          <w:tcPr>
            <w:tcW w:w="2203" w:type="dxa"/>
            <w:tcMar>
              <w:top w:w="0" w:type="dxa"/>
              <w:left w:w="108" w:type="dxa"/>
              <w:bottom w:w="0" w:type="dxa"/>
              <w:right w:w="108" w:type="dxa"/>
            </w:tcMar>
            <w:hideMark/>
          </w:tcPr>
          <w:p w14:paraId="4B7B200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r>
      <w:tr w:rsidR="006E5C07" w:rsidRPr="006E5C07" w14:paraId="5AB14242" w14:textId="77777777" w:rsidTr="006E5C07">
        <w:tc>
          <w:tcPr>
            <w:tcW w:w="3756" w:type="dxa"/>
            <w:tcMar>
              <w:top w:w="0" w:type="dxa"/>
              <w:left w:w="108" w:type="dxa"/>
              <w:bottom w:w="0" w:type="dxa"/>
              <w:right w:w="108" w:type="dxa"/>
            </w:tcMar>
            <w:hideMark/>
          </w:tcPr>
          <w:p w14:paraId="21CD9873" w14:textId="77777777" w:rsidR="006E5C07" w:rsidRPr="006E5C07" w:rsidRDefault="006E5C07" w:rsidP="006E5C07">
            <w:pPr>
              <w:spacing w:after="0" w:line="240" w:lineRule="auto"/>
              <w:rPr>
                <w:rFonts w:ascii="Calibri" w:eastAsia="Times New Roman" w:hAnsi="Calibri" w:cs="Calibri"/>
              </w:rPr>
            </w:pPr>
          </w:p>
        </w:tc>
        <w:tc>
          <w:tcPr>
            <w:tcW w:w="2419" w:type="dxa"/>
            <w:tcMar>
              <w:top w:w="0" w:type="dxa"/>
              <w:left w:w="108" w:type="dxa"/>
              <w:bottom w:w="0" w:type="dxa"/>
              <w:right w:w="108" w:type="dxa"/>
            </w:tcMar>
            <w:hideMark/>
          </w:tcPr>
          <w:p w14:paraId="675E361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'20</w:t>
            </w:r>
          </w:p>
        </w:tc>
        <w:tc>
          <w:tcPr>
            <w:tcW w:w="2203" w:type="dxa"/>
            <w:tcMar>
              <w:top w:w="0" w:type="dxa"/>
              <w:left w:w="108" w:type="dxa"/>
              <w:bottom w:w="0" w:type="dxa"/>
              <w:right w:w="108" w:type="dxa"/>
            </w:tcMar>
            <w:hideMark/>
          </w:tcPr>
          <w:p w14:paraId="244DE0AE"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'19</w:t>
            </w:r>
          </w:p>
        </w:tc>
      </w:tr>
      <w:tr w:rsidR="006E5C07" w:rsidRPr="006E5C07" w14:paraId="26BB4C2D" w14:textId="77777777" w:rsidTr="006E5C07">
        <w:tc>
          <w:tcPr>
            <w:tcW w:w="3756" w:type="dxa"/>
            <w:tcMar>
              <w:top w:w="0" w:type="dxa"/>
              <w:left w:w="108" w:type="dxa"/>
              <w:bottom w:w="0" w:type="dxa"/>
              <w:right w:w="108" w:type="dxa"/>
            </w:tcMar>
            <w:hideMark/>
          </w:tcPr>
          <w:p w14:paraId="5D47D004" w14:textId="77777777" w:rsidR="006E5C07" w:rsidRPr="006E5C07" w:rsidRDefault="006E5C07" w:rsidP="006E5C07">
            <w:pPr>
              <w:spacing w:after="0" w:line="240" w:lineRule="auto"/>
              <w:rPr>
                <w:rFonts w:ascii="Calibri" w:eastAsia="Times New Roman" w:hAnsi="Calibri" w:cs="Calibri"/>
              </w:rPr>
            </w:pPr>
          </w:p>
        </w:tc>
        <w:tc>
          <w:tcPr>
            <w:tcW w:w="2419" w:type="dxa"/>
            <w:tcMar>
              <w:top w:w="0" w:type="dxa"/>
              <w:left w:w="108" w:type="dxa"/>
              <w:bottom w:w="0" w:type="dxa"/>
              <w:right w:w="108" w:type="dxa"/>
            </w:tcMar>
            <w:hideMark/>
          </w:tcPr>
          <w:p w14:paraId="270414D4"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2203" w:type="dxa"/>
            <w:tcMar>
              <w:top w:w="0" w:type="dxa"/>
              <w:left w:w="108" w:type="dxa"/>
              <w:bottom w:w="0" w:type="dxa"/>
              <w:right w:w="108" w:type="dxa"/>
            </w:tcMar>
            <w:hideMark/>
          </w:tcPr>
          <w:p w14:paraId="629FC7A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r>
      <w:tr w:rsidR="006E5C07" w:rsidRPr="006E5C07" w14:paraId="38D5CE96" w14:textId="77777777" w:rsidTr="006E5C07">
        <w:tc>
          <w:tcPr>
            <w:tcW w:w="3756" w:type="dxa"/>
            <w:tcMar>
              <w:top w:w="0" w:type="dxa"/>
              <w:left w:w="108" w:type="dxa"/>
              <w:bottom w:w="0" w:type="dxa"/>
              <w:right w:w="108" w:type="dxa"/>
            </w:tcMar>
            <w:hideMark/>
          </w:tcPr>
          <w:p w14:paraId="7A663382" w14:textId="77777777" w:rsidR="006E5C07" w:rsidRPr="006E5C07" w:rsidRDefault="006E5C07" w:rsidP="006E5C07">
            <w:pPr>
              <w:spacing w:after="0" w:line="240" w:lineRule="auto"/>
              <w:rPr>
                <w:rFonts w:ascii="Calibri" w:eastAsia="Times New Roman" w:hAnsi="Calibri" w:cs="Calibri"/>
              </w:rPr>
            </w:pPr>
          </w:p>
        </w:tc>
        <w:tc>
          <w:tcPr>
            <w:tcW w:w="2419" w:type="dxa"/>
            <w:tcMar>
              <w:top w:w="0" w:type="dxa"/>
              <w:left w:w="108" w:type="dxa"/>
              <w:bottom w:w="0" w:type="dxa"/>
              <w:right w:w="108" w:type="dxa"/>
            </w:tcMar>
            <w:hideMark/>
          </w:tcPr>
          <w:p w14:paraId="3DD30846" w14:textId="77777777" w:rsidR="006E5C07" w:rsidRPr="006E5C07" w:rsidRDefault="006E5C07" w:rsidP="006E5C07">
            <w:pPr>
              <w:spacing w:after="0" w:line="240" w:lineRule="auto"/>
              <w:jc w:val="right"/>
              <w:rPr>
                <w:rFonts w:ascii="Calibri" w:eastAsia="Times New Roman" w:hAnsi="Calibri" w:cs="Calibri"/>
              </w:rPr>
            </w:pPr>
          </w:p>
        </w:tc>
        <w:tc>
          <w:tcPr>
            <w:tcW w:w="2203" w:type="dxa"/>
            <w:tcMar>
              <w:top w:w="0" w:type="dxa"/>
              <w:left w:w="108" w:type="dxa"/>
              <w:bottom w:w="0" w:type="dxa"/>
              <w:right w:w="108" w:type="dxa"/>
            </w:tcMar>
            <w:hideMark/>
          </w:tcPr>
          <w:p w14:paraId="63F13D9E"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5B4C33AF" w14:textId="77777777" w:rsidTr="006E5C07">
        <w:tc>
          <w:tcPr>
            <w:tcW w:w="3756" w:type="dxa"/>
            <w:tcMar>
              <w:top w:w="0" w:type="dxa"/>
              <w:left w:w="108" w:type="dxa"/>
              <w:bottom w:w="0" w:type="dxa"/>
              <w:right w:w="108" w:type="dxa"/>
            </w:tcMar>
            <w:hideMark/>
          </w:tcPr>
          <w:p w14:paraId="7D63117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Weighted average number of ordinary shares</w:t>
            </w:r>
          </w:p>
        </w:tc>
        <w:tc>
          <w:tcPr>
            <w:tcW w:w="2419" w:type="dxa"/>
            <w:tcMar>
              <w:top w:w="0" w:type="dxa"/>
              <w:left w:w="108" w:type="dxa"/>
              <w:bottom w:w="0" w:type="dxa"/>
              <w:right w:w="108" w:type="dxa"/>
            </w:tcMar>
            <w:hideMark/>
          </w:tcPr>
          <w:p w14:paraId="5CA17B7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19,520</w:t>
            </w:r>
          </w:p>
        </w:tc>
        <w:tc>
          <w:tcPr>
            <w:tcW w:w="2203" w:type="dxa"/>
            <w:tcMar>
              <w:top w:w="0" w:type="dxa"/>
              <w:left w:w="108" w:type="dxa"/>
              <w:bottom w:w="0" w:type="dxa"/>
              <w:right w:w="108" w:type="dxa"/>
            </w:tcMar>
            <w:hideMark/>
          </w:tcPr>
          <w:p w14:paraId="3A0B3710"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20,991</w:t>
            </w:r>
          </w:p>
        </w:tc>
      </w:tr>
      <w:tr w:rsidR="006E5C07" w:rsidRPr="006E5C07" w14:paraId="3D1B24B9" w14:textId="77777777" w:rsidTr="006E5C07">
        <w:tc>
          <w:tcPr>
            <w:tcW w:w="3756" w:type="dxa"/>
            <w:tcMar>
              <w:top w:w="0" w:type="dxa"/>
              <w:left w:w="108" w:type="dxa"/>
              <w:bottom w:w="0" w:type="dxa"/>
              <w:right w:w="108" w:type="dxa"/>
            </w:tcMar>
            <w:hideMark/>
          </w:tcPr>
          <w:p w14:paraId="1567965F"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for the purposes of diluted earnings per share</w:t>
            </w:r>
          </w:p>
        </w:tc>
        <w:tc>
          <w:tcPr>
            <w:tcW w:w="2419" w:type="dxa"/>
            <w:tcMar>
              <w:top w:w="0" w:type="dxa"/>
              <w:left w:w="108" w:type="dxa"/>
              <w:bottom w:w="0" w:type="dxa"/>
              <w:right w:w="108" w:type="dxa"/>
            </w:tcMar>
            <w:hideMark/>
          </w:tcPr>
          <w:p w14:paraId="42006D2A" w14:textId="77777777" w:rsidR="006E5C07" w:rsidRPr="006E5C07" w:rsidRDefault="006E5C07" w:rsidP="006E5C07">
            <w:pPr>
              <w:spacing w:after="0" w:line="240" w:lineRule="auto"/>
              <w:jc w:val="right"/>
              <w:rPr>
                <w:rFonts w:ascii="Calibri" w:eastAsia="Times New Roman" w:hAnsi="Calibri" w:cs="Calibri"/>
              </w:rPr>
            </w:pPr>
          </w:p>
        </w:tc>
        <w:tc>
          <w:tcPr>
            <w:tcW w:w="2203" w:type="dxa"/>
            <w:tcMar>
              <w:top w:w="0" w:type="dxa"/>
              <w:left w:w="108" w:type="dxa"/>
              <w:bottom w:w="0" w:type="dxa"/>
              <w:right w:w="108" w:type="dxa"/>
            </w:tcMar>
            <w:hideMark/>
          </w:tcPr>
          <w:p w14:paraId="2568B602" w14:textId="77777777" w:rsidR="006E5C07" w:rsidRPr="006E5C07" w:rsidRDefault="006E5C07" w:rsidP="006E5C07">
            <w:pPr>
              <w:spacing w:after="0" w:line="240" w:lineRule="auto"/>
              <w:jc w:val="right"/>
              <w:rPr>
                <w:rFonts w:ascii="Calibri" w:eastAsia="Times New Roman" w:hAnsi="Calibri" w:cs="Calibri"/>
              </w:rPr>
            </w:pPr>
          </w:p>
        </w:tc>
      </w:tr>
    </w:tbl>
    <w:p w14:paraId="555C974F" w14:textId="77777777" w:rsidR="006E5C07" w:rsidRPr="006E5C07" w:rsidRDefault="006E5C07" w:rsidP="006E5C07">
      <w:pPr>
        <w:spacing w:after="0" w:line="240" w:lineRule="auto"/>
        <w:jc w:val="both"/>
        <w:rPr>
          <w:rFonts w:ascii="Times New Roman" w:eastAsia="Times New Roman" w:hAnsi="Times New Roman" w:cs="Times New Roman"/>
          <w:color w:val="000000"/>
          <w:sz w:val="20"/>
          <w:szCs w:val="20"/>
        </w:rPr>
      </w:pPr>
      <w:r w:rsidRPr="006E5C07">
        <w:rPr>
          <w:rFonts w:ascii="Gill Sans MT" w:eastAsia="Times New Roman" w:hAnsi="Gill Sans MT" w:cs="Times New Roman"/>
          <w:sz w:val="18"/>
          <w:szCs w:val="18"/>
        </w:rPr>
        <w:t> </w:t>
      </w:r>
    </w:p>
    <w:p w14:paraId="5C25A430" w14:textId="77777777" w:rsidR="006E5C07" w:rsidRPr="006E5C07" w:rsidRDefault="006E5C07" w:rsidP="006E5C07">
      <w:pPr>
        <w:spacing w:after="0" w:line="240" w:lineRule="auto"/>
        <w:jc w:val="both"/>
        <w:rPr>
          <w:rFonts w:ascii="Times New Roman" w:eastAsia="Times New Roman" w:hAnsi="Times New Roman" w:cs="Times New Roman"/>
          <w:color w:val="000000"/>
          <w:sz w:val="20"/>
          <w:szCs w:val="20"/>
        </w:rPr>
      </w:pPr>
      <w:r w:rsidRPr="006E5C07">
        <w:rPr>
          <w:rFonts w:ascii="Gill Sans MT" w:eastAsia="Times New Roman" w:hAnsi="Gill Sans MT" w:cs="Times New Roman"/>
          <w:sz w:val="18"/>
          <w:szCs w:val="18"/>
        </w:rPr>
        <w:t>The weighted average number of ordinary shares for the purposes of diluted earnings per share reconciles to the weighted average number of ordinary shares used in the calculation of basic earnings per share as follows.</w:t>
      </w:r>
    </w:p>
    <w:p w14:paraId="2B18B442" w14:textId="77777777" w:rsidR="006E5C07" w:rsidRPr="006E5C07" w:rsidRDefault="006E5C07" w:rsidP="006E5C07">
      <w:pPr>
        <w:spacing w:line="240" w:lineRule="auto"/>
        <w:jc w:val="both"/>
        <w:rPr>
          <w:rFonts w:ascii="Times New Roman" w:eastAsia="Times New Roman" w:hAnsi="Times New Roman" w:cs="Times New Roman"/>
          <w:color w:val="000000"/>
          <w:sz w:val="20"/>
          <w:szCs w:val="20"/>
        </w:rPr>
      </w:pPr>
      <w:r w:rsidRPr="006E5C07">
        <w:rPr>
          <w:rFonts w:ascii="Gill Sans MT" w:eastAsia="Times New Roman" w:hAnsi="Gill Sans MT" w:cs="Times New Roman"/>
          <w:sz w:val="18"/>
          <w:szCs w:val="18"/>
        </w:rPr>
        <w:t> </w:t>
      </w:r>
    </w:p>
    <w:tbl>
      <w:tblPr>
        <w:tblW w:w="0" w:type="auto"/>
        <w:tblInd w:w="-108" w:type="dxa"/>
        <w:tblCellMar>
          <w:left w:w="0" w:type="dxa"/>
          <w:right w:w="0" w:type="dxa"/>
        </w:tblCellMar>
        <w:tblLook w:val="04A0" w:firstRow="1" w:lastRow="0" w:firstColumn="1" w:lastColumn="0" w:noHBand="0" w:noVBand="1"/>
      </w:tblPr>
      <w:tblGrid>
        <w:gridCol w:w="3759"/>
        <w:gridCol w:w="2417"/>
        <w:gridCol w:w="2202"/>
      </w:tblGrid>
      <w:tr w:rsidR="006E5C07" w:rsidRPr="006E5C07" w14:paraId="2BD257DB" w14:textId="77777777" w:rsidTr="006E5C07">
        <w:tc>
          <w:tcPr>
            <w:tcW w:w="3759" w:type="dxa"/>
            <w:tcMar>
              <w:top w:w="0" w:type="dxa"/>
              <w:left w:w="108" w:type="dxa"/>
              <w:bottom w:w="0" w:type="dxa"/>
              <w:right w:w="108" w:type="dxa"/>
            </w:tcMar>
            <w:hideMark/>
          </w:tcPr>
          <w:p w14:paraId="6DC81440" w14:textId="77777777" w:rsidR="006E5C07" w:rsidRPr="006E5C07" w:rsidRDefault="006E5C07" w:rsidP="006E5C07">
            <w:pPr>
              <w:spacing w:after="0" w:line="240" w:lineRule="auto"/>
              <w:jc w:val="right"/>
              <w:rPr>
                <w:rFonts w:ascii="Calibri" w:eastAsia="Times New Roman" w:hAnsi="Calibri" w:cs="Calibri"/>
                <w:b/>
                <w:bCs/>
              </w:rPr>
            </w:pPr>
          </w:p>
        </w:tc>
        <w:tc>
          <w:tcPr>
            <w:tcW w:w="2417" w:type="dxa"/>
            <w:tcMar>
              <w:top w:w="0" w:type="dxa"/>
              <w:left w:w="108" w:type="dxa"/>
              <w:bottom w:w="0" w:type="dxa"/>
              <w:right w:w="108" w:type="dxa"/>
            </w:tcMar>
            <w:hideMark/>
          </w:tcPr>
          <w:p w14:paraId="2FBDD80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c>
          <w:tcPr>
            <w:tcW w:w="2202" w:type="dxa"/>
            <w:tcMar>
              <w:top w:w="0" w:type="dxa"/>
              <w:left w:w="108" w:type="dxa"/>
              <w:bottom w:w="0" w:type="dxa"/>
              <w:right w:w="108" w:type="dxa"/>
            </w:tcMar>
            <w:hideMark/>
          </w:tcPr>
          <w:p w14:paraId="211488D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r>
      <w:tr w:rsidR="006E5C07" w:rsidRPr="006E5C07" w14:paraId="359B7260" w14:textId="77777777" w:rsidTr="006E5C07">
        <w:tc>
          <w:tcPr>
            <w:tcW w:w="3759" w:type="dxa"/>
            <w:tcMar>
              <w:top w:w="0" w:type="dxa"/>
              <w:left w:w="108" w:type="dxa"/>
              <w:bottom w:w="0" w:type="dxa"/>
              <w:right w:w="108" w:type="dxa"/>
            </w:tcMar>
            <w:hideMark/>
          </w:tcPr>
          <w:p w14:paraId="3F81256E" w14:textId="77777777" w:rsidR="006E5C07" w:rsidRPr="006E5C07" w:rsidRDefault="006E5C07" w:rsidP="006E5C07">
            <w:pPr>
              <w:spacing w:after="0" w:line="240" w:lineRule="auto"/>
              <w:jc w:val="right"/>
              <w:rPr>
                <w:rFonts w:ascii="Calibri" w:eastAsia="Times New Roman" w:hAnsi="Calibri" w:cs="Calibri"/>
                <w:b/>
                <w:bCs/>
              </w:rPr>
            </w:pPr>
          </w:p>
        </w:tc>
        <w:tc>
          <w:tcPr>
            <w:tcW w:w="2417" w:type="dxa"/>
            <w:tcMar>
              <w:top w:w="0" w:type="dxa"/>
              <w:left w:w="108" w:type="dxa"/>
              <w:bottom w:w="0" w:type="dxa"/>
              <w:right w:w="108" w:type="dxa"/>
            </w:tcMar>
            <w:hideMark/>
          </w:tcPr>
          <w:p w14:paraId="5885C1A1"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'20</w:t>
            </w:r>
          </w:p>
        </w:tc>
        <w:tc>
          <w:tcPr>
            <w:tcW w:w="2202" w:type="dxa"/>
            <w:tcMar>
              <w:top w:w="0" w:type="dxa"/>
              <w:left w:w="108" w:type="dxa"/>
              <w:bottom w:w="0" w:type="dxa"/>
              <w:right w:w="108" w:type="dxa"/>
            </w:tcMar>
            <w:hideMark/>
          </w:tcPr>
          <w:p w14:paraId="1E62211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'19</w:t>
            </w:r>
          </w:p>
        </w:tc>
      </w:tr>
      <w:tr w:rsidR="006E5C07" w:rsidRPr="006E5C07" w14:paraId="7A53379B" w14:textId="77777777" w:rsidTr="006E5C07">
        <w:tc>
          <w:tcPr>
            <w:tcW w:w="3759" w:type="dxa"/>
            <w:tcMar>
              <w:top w:w="0" w:type="dxa"/>
              <w:left w:w="108" w:type="dxa"/>
              <w:bottom w:w="0" w:type="dxa"/>
              <w:right w:w="108" w:type="dxa"/>
            </w:tcMar>
            <w:hideMark/>
          </w:tcPr>
          <w:p w14:paraId="277FA79D" w14:textId="77777777" w:rsidR="006E5C07" w:rsidRPr="006E5C07" w:rsidRDefault="006E5C07" w:rsidP="006E5C07">
            <w:pPr>
              <w:spacing w:after="0" w:line="240" w:lineRule="auto"/>
              <w:jc w:val="right"/>
              <w:rPr>
                <w:rFonts w:ascii="Calibri" w:eastAsia="Times New Roman" w:hAnsi="Calibri" w:cs="Calibri"/>
                <w:b/>
                <w:bCs/>
              </w:rPr>
            </w:pPr>
          </w:p>
        </w:tc>
        <w:tc>
          <w:tcPr>
            <w:tcW w:w="2417" w:type="dxa"/>
            <w:tcMar>
              <w:top w:w="0" w:type="dxa"/>
              <w:left w:w="108" w:type="dxa"/>
              <w:bottom w:w="0" w:type="dxa"/>
              <w:right w:w="108" w:type="dxa"/>
            </w:tcMar>
            <w:hideMark/>
          </w:tcPr>
          <w:p w14:paraId="674E0A9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'000</w:t>
            </w:r>
          </w:p>
        </w:tc>
        <w:tc>
          <w:tcPr>
            <w:tcW w:w="2202" w:type="dxa"/>
            <w:tcMar>
              <w:top w:w="0" w:type="dxa"/>
              <w:left w:w="108" w:type="dxa"/>
              <w:bottom w:w="0" w:type="dxa"/>
              <w:right w:w="108" w:type="dxa"/>
            </w:tcMar>
            <w:hideMark/>
          </w:tcPr>
          <w:p w14:paraId="37F9843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'00</w:t>
            </w:r>
          </w:p>
        </w:tc>
      </w:tr>
      <w:tr w:rsidR="006E5C07" w:rsidRPr="006E5C07" w14:paraId="195DD863" w14:textId="77777777" w:rsidTr="006E5C07">
        <w:tc>
          <w:tcPr>
            <w:tcW w:w="3759" w:type="dxa"/>
            <w:tcMar>
              <w:top w:w="0" w:type="dxa"/>
              <w:left w:w="108" w:type="dxa"/>
              <w:bottom w:w="0" w:type="dxa"/>
              <w:right w:w="108" w:type="dxa"/>
            </w:tcMar>
            <w:hideMark/>
          </w:tcPr>
          <w:p w14:paraId="65892387" w14:textId="77777777" w:rsidR="006E5C07" w:rsidRPr="006E5C07" w:rsidRDefault="006E5C07" w:rsidP="006E5C07">
            <w:pPr>
              <w:spacing w:after="0" w:line="240" w:lineRule="auto"/>
              <w:jc w:val="right"/>
              <w:rPr>
                <w:rFonts w:ascii="Calibri" w:eastAsia="Times New Roman" w:hAnsi="Calibri" w:cs="Calibri"/>
                <w:b/>
                <w:bCs/>
              </w:rPr>
            </w:pPr>
          </w:p>
        </w:tc>
        <w:tc>
          <w:tcPr>
            <w:tcW w:w="2417" w:type="dxa"/>
            <w:tcMar>
              <w:top w:w="0" w:type="dxa"/>
              <w:left w:w="108" w:type="dxa"/>
              <w:bottom w:w="0" w:type="dxa"/>
              <w:right w:w="108" w:type="dxa"/>
            </w:tcMar>
            <w:hideMark/>
          </w:tcPr>
          <w:p w14:paraId="5924D360" w14:textId="77777777" w:rsidR="006E5C07" w:rsidRPr="006E5C07" w:rsidRDefault="006E5C07" w:rsidP="006E5C07">
            <w:pPr>
              <w:spacing w:after="0" w:line="240" w:lineRule="auto"/>
              <w:jc w:val="right"/>
              <w:rPr>
                <w:rFonts w:ascii="Calibri" w:eastAsia="Times New Roman" w:hAnsi="Calibri" w:cs="Calibri"/>
              </w:rPr>
            </w:pPr>
          </w:p>
        </w:tc>
        <w:tc>
          <w:tcPr>
            <w:tcW w:w="2202" w:type="dxa"/>
            <w:tcMar>
              <w:top w:w="0" w:type="dxa"/>
              <w:left w:w="108" w:type="dxa"/>
              <w:bottom w:w="0" w:type="dxa"/>
              <w:right w:w="108" w:type="dxa"/>
            </w:tcMar>
            <w:hideMark/>
          </w:tcPr>
          <w:p w14:paraId="74CDE1D7"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61E3F0F6" w14:textId="77777777" w:rsidTr="006E5C07">
        <w:tc>
          <w:tcPr>
            <w:tcW w:w="3759" w:type="dxa"/>
            <w:tcMar>
              <w:top w:w="0" w:type="dxa"/>
              <w:left w:w="108" w:type="dxa"/>
              <w:bottom w:w="0" w:type="dxa"/>
              <w:right w:w="108" w:type="dxa"/>
            </w:tcMar>
            <w:hideMark/>
          </w:tcPr>
          <w:p w14:paraId="40431B5E"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Weighted average number of shares in issue</w:t>
            </w:r>
          </w:p>
        </w:tc>
        <w:tc>
          <w:tcPr>
            <w:tcW w:w="2417" w:type="dxa"/>
            <w:tcMar>
              <w:top w:w="0" w:type="dxa"/>
              <w:left w:w="108" w:type="dxa"/>
              <w:bottom w:w="0" w:type="dxa"/>
              <w:right w:w="108" w:type="dxa"/>
            </w:tcMar>
            <w:hideMark/>
          </w:tcPr>
          <w:p w14:paraId="697DB0F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19,520</w:t>
            </w:r>
          </w:p>
        </w:tc>
        <w:tc>
          <w:tcPr>
            <w:tcW w:w="2202" w:type="dxa"/>
            <w:tcMar>
              <w:top w:w="0" w:type="dxa"/>
              <w:left w:w="108" w:type="dxa"/>
              <w:bottom w:w="0" w:type="dxa"/>
              <w:right w:w="108" w:type="dxa"/>
            </w:tcMar>
            <w:hideMark/>
          </w:tcPr>
          <w:p w14:paraId="15FB39C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19,520</w:t>
            </w:r>
          </w:p>
        </w:tc>
      </w:tr>
      <w:tr w:rsidR="006E5C07" w:rsidRPr="006E5C07" w14:paraId="1190ED93" w14:textId="77777777" w:rsidTr="006E5C07">
        <w:tc>
          <w:tcPr>
            <w:tcW w:w="3759" w:type="dxa"/>
            <w:tcMar>
              <w:top w:w="0" w:type="dxa"/>
              <w:left w:w="108" w:type="dxa"/>
              <w:bottom w:w="0" w:type="dxa"/>
              <w:right w:w="108" w:type="dxa"/>
            </w:tcMar>
            <w:hideMark/>
          </w:tcPr>
          <w:p w14:paraId="00A008A1"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during the period</w:t>
            </w:r>
          </w:p>
        </w:tc>
        <w:tc>
          <w:tcPr>
            <w:tcW w:w="2417" w:type="dxa"/>
            <w:tcMar>
              <w:top w:w="0" w:type="dxa"/>
              <w:left w:w="108" w:type="dxa"/>
              <w:bottom w:w="0" w:type="dxa"/>
              <w:right w:w="108" w:type="dxa"/>
            </w:tcMar>
            <w:hideMark/>
          </w:tcPr>
          <w:p w14:paraId="1677B440" w14:textId="77777777" w:rsidR="006E5C07" w:rsidRPr="006E5C07" w:rsidRDefault="006E5C07" w:rsidP="006E5C07">
            <w:pPr>
              <w:spacing w:after="0" w:line="240" w:lineRule="auto"/>
              <w:jc w:val="right"/>
              <w:rPr>
                <w:rFonts w:ascii="Calibri" w:eastAsia="Times New Roman" w:hAnsi="Calibri" w:cs="Calibri"/>
              </w:rPr>
            </w:pPr>
          </w:p>
        </w:tc>
        <w:tc>
          <w:tcPr>
            <w:tcW w:w="2202" w:type="dxa"/>
            <w:tcMar>
              <w:top w:w="0" w:type="dxa"/>
              <w:left w:w="108" w:type="dxa"/>
              <w:bottom w:w="0" w:type="dxa"/>
              <w:right w:w="108" w:type="dxa"/>
            </w:tcMar>
            <w:hideMark/>
          </w:tcPr>
          <w:p w14:paraId="094AB1BA"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15A95689" w14:textId="77777777" w:rsidTr="006E5C07">
        <w:tc>
          <w:tcPr>
            <w:tcW w:w="3759" w:type="dxa"/>
            <w:tcMar>
              <w:top w:w="0" w:type="dxa"/>
              <w:left w:w="108" w:type="dxa"/>
              <w:bottom w:w="0" w:type="dxa"/>
              <w:right w:w="108" w:type="dxa"/>
            </w:tcMar>
            <w:hideMark/>
          </w:tcPr>
          <w:p w14:paraId="7FF6D6AF" w14:textId="77777777" w:rsidR="006E5C07" w:rsidRPr="006E5C07" w:rsidRDefault="006E5C07" w:rsidP="006E5C07">
            <w:pPr>
              <w:spacing w:after="0" w:line="240" w:lineRule="auto"/>
              <w:rPr>
                <w:rFonts w:ascii="Calibri" w:eastAsia="Times New Roman" w:hAnsi="Calibri" w:cs="Calibri"/>
              </w:rPr>
            </w:pPr>
          </w:p>
        </w:tc>
        <w:tc>
          <w:tcPr>
            <w:tcW w:w="2417" w:type="dxa"/>
            <w:tcMar>
              <w:top w:w="0" w:type="dxa"/>
              <w:left w:w="108" w:type="dxa"/>
              <w:bottom w:w="0" w:type="dxa"/>
              <w:right w:w="108" w:type="dxa"/>
            </w:tcMar>
            <w:hideMark/>
          </w:tcPr>
          <w:p w14:paraId="3B96FB90" w14:textId="77777777" w:rsidR="006E5C07" w:rsidRPr="006E5C07" w:rsidRDefault="006E5C07" w:rsidP="006E5C07">
            <w:pPr>
              <w:spacing w:after="0" w:line="240" w:lineRule="auto"/>
              <w:jc w:val="right"/>
              <w:rPr>
                <w:rFonts w:ascii="Calibri" w:eastAsia="Times New Roman" w:hAnsi="Calibri" w:cs="Calibri"/>
              </w:rPr>
            </w:pPr>
          </w:p>
        </w:tc>
        <w:tc>
          <w:tcPr>
            <w:tcW w:w="2202" w:type="dxa"/>
            <w:tcMar>
              <w:top w:w="0" w:type="dxa"/>
              <w:left w:w="108" w:type="dxa"/>
              <w:bottom w:w="0" w:type="dxa"/>
              <w:right w:w="108" w:type="dxa"/>
            </w:tcMar>
            <w:hideMark/>
          </w:tcPr>
          <w:p w14:paraId="2A3D8879"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6110F3EE" w14:textId="77777777" w:rsidTr="006E5C07">
        <w:tc>
          <w:tcPr>
            <w:tcW w:w="3759" w:type="dxa"/>
            <w:tcMar>
              <w:top w:w="0" w:type="dxa"/>
              <w:left w:w="108" w:type="dxa"/>
              <w:bottom w:w="0" w:type="dxa"/>
              <w:right w:w="108" w:type="dxa"/>
            </w:tcMar>
            <w:hideMark/>
          </w:tcPr>
          <w:p w14:paraId="1C6991AD"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Weighted average number of ordinary shares</w:t>
            </w:r>
          </w:p>
        </w:tc>
        <w:tc>
          <w:tcPr>
            <w:tcW w:w="2417" w:type="dxa"/>
            <w:tcMar>
              <w:top w:w="0" w:type="dxa"/>
              <w:left w:w="108" w:type="dxa"/>
              <w:bottom w:w="0" w:type="dxa"/>
              <w:right w:w="108" w:type="dxa"/>
            </w:tcMar>
            <w:hideMark/>
          </w:tcPr>
          <w:p w14:paraId="19064D67"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2202" w:type="dxa"/>
            <w:tcMar>
              <w:top w:w="0" w:type="dxa"/>
              <w:left w:w="108" w:type="dxa"/>
              <w:bottom w:w="0" w:type="dxa"/>
              <w:right w:w="108" w:type="dxa"/>
            </w:tcMar>
            <w:hideMark/>
          </w:tcPr>
          <w:p w14:paraId="21D41AB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1,471</w:t>
            </w:r>
          </w:p>
        </w:tc>
      </w:tr>
      <w:tr w:rsidR="006E5C07" w:rsidRPr="006E5C07" w14:paraId="0777C582" w14:textId="77777777" w:rsidTr="006E5C07">
        <w:tc>
          <w:tcPr>
            <w:tcW w:w="3759" w:type="dxa"/>
            <w:tcMar>
              <w:top w:w="0" w:type="dxa"/>
              <w:left w:w="108" w:type="dxa"/>
              <w:bottom w:w="0" w:type="dxa"/>
              <w:right w:w="108" w:type="dxa"/>
            </w:tcMar>
            <w:hideMark/>
          </w:tcPr>
          <w:p w14:paraId="626AE66C"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used in the calculation of basic earnings per</w:t>
            </w:r>
          </w:p>
        </w:tc>
        <w:tc>
          <w:tcPr>
            <w:tcW w:w="2417" w:type="dxa"/>
            <w:tcMar>
              <w:top w:w="0" w:type="dxa"/>
              <w:left w:w="108" w:type="dxa"/>
              <w:bottom w:w="0" w:type="dxa"/>
              <w:right w:w="108" w:type="dxa"/>
            </w:tcMar>
            <w:hideMark/>
          </w:tcPr>
          <w:p w14:paraId="3A16ABD4" w14:textId="77777777" w:rsidR="006E5C07" w:rsidRPr="006E5C07" w:rsidRDefault="006E5C07" w:rsidP="006E5C07">
            <w:pPr>
              <w:spacing w:after="0" w:line="240" w:lineRule="auto"/>
              <w:jc w:val="right"/>
              <w:rPr>
                <w:rFonts w:ascii="Calibri" w:eastAsia="Times New Roman" w:hAnsi="Calibri" w:cs="Calibri"/>
              </w:rPr>
            </w:pPr>
          </w:p>
        </w:tc>
        <w:tc>
          <w:tcPr>
            <w:tcW w:w="2202" w:type="dxa"/>
            <w:tcMar>
              <w:top w:w="0" w:type="dxa"/>
              <w:left w:w="108" w:type="dxa"/>
              <w:bottom w:w="0" w:type="dxa"/>
              <w:right w:w="108" w:type="dxa"/>
            </w:tcMar>
            <w:hideMark/>
          </w:tcPr>
          <w:p w14:paraId="12CAC1C1"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011A23E4" w14:textId="77777777" w:rsidTr="006E5C07">
        <w:tc>
          <w:tcPr>
            <w:tcW w:w="3759" w:type="dxa"/>
            <w:tcMar>
              <w:top w:w="0" w:type="dxa"/>
              <w:left w:w="108" w:type="dxa"/>
              <w:bottom w:w="0" w:type="dxa"/>
              <w:right w:w="108" w:type="dxa"/>
            </w:tcMar>
            <w:hideMark/>
          </w:tcPr>
          <w:p w14:paraId="18E0CF2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share deemed to be issued for no</w:t>
            </w:r>
          </w:p>
        </w:tc>
        <w:tc>
          <w:tcPr>
            <w:tcW w:w="2417" w:type="dxa"/>
            <w:tcMar>
              <w:top w:w="0" w:type="dxa"/>
              <w:left w:w="108" w:type="dxa"/>
              <w:bottom w:w="0" w:type="dxa"/>
              <w:right w:w="108" w:type="dxa"/>
            </w:tcMar>
            <w:hideMark/>
          </w:tcPr>
          <w:p w14:paraId="0377536D" w14:textId="77777777" w:rsidR="006E5C07" w:rsidRPr="006E5C07" w:rsidRDefault="006E5C07" w:rsidP="006E5C07">
            <w:pPr>
              <w:spacing w:after="0" w:line="240" w:lineRule="auto"/>
              <w:jc w:val="right"/>
              <w:rPr>
                <w:rFonts w:ascii="Calibri" w:eastAsia="Times New Roman" w:hAnsi="Calibri" w:cs="Calibri"/>
              </w:rPr>
            </w:pPr>
          </w:p>
        </w:tc>
        <w:tc>
          <w:tcPr>
            <w:tcW w:w="2202" w:type="dxa"/>
            <w:tcMar>
              <w:top w:w="0" w:type="dxa"/>
              <w:left w:w="108" w:type="dxa"/>
              <w:bottom w:w="0" w:type="dxa"/>
              <w:right w:w="108" w:type="dxa"/>
            </w:tcMar>
            <w:hideMark/>
          </w:tcPr>
          <w:p w14:paraId="13C82AAE"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55DD658B" w14:textId="77777777" w:rsidTr="006E5C07">
        <w:tc>
          <w:tcPr>
            <w:tcW w:w="3759" w:type="dxa"/>
            <w:tcMar>
              <w:top w:w="0" w:type="dxa"/>
              <w:left w:w="108" w:type="dxa"/>
              <w:bottom w:w="0" w:type="dxa"/>
              <w:right w:w="108" w:type="dxa"/>
            </w:tcMar>
            <w:hideMark/>
          </w:tcPr>
          <w:p w14:paraId="62DF8AA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consideration in respect of employee options</w:t>
            </w:r>
          </w:p>
        </w:tc>
        <w:tc>
          <w:tcPr>
            <w:tcW w:w="2417" w:type="dxa"/>
            <w:tcMar>
              <w:top w:w="0" w:type="dxa"/>
              <w:left w:w="108" w:type="dxa"/>
              <w:bottom w:w="0" w:type="dxa"/>
              <w:right w:w="108" w:type="dxa"/>
            </w:tcMar>
            <w:hideMark/>
          </w:tcPr>
          <w:p w14:paraId="34D77560" w14:textId="77777777" w:rsidR="006E5C07" w:rsidRPr="006E5C07" w:rsidRDefault="006E5C07" w:rsidP="006E5C07">
            <w:pPr>
              <w:spacing w:after="0" w:line="240" w:lineRule="auto"/>
              <w:jc w:val="right"/>
              <w:rPr>
                <w:rFonts w:ascii="Calibri" w:eastAsia="Times New Roman" w:hAnsi="Calibri" w:cs="Calibri"/>
              </w:rPr>
            </w:pPr>
          </w:p>
        </w:tc>
        <w:tc>
          <w:tcPr>
            <w:tcW w:w="2202" w:type="dxa"/>
            <w:tcMar>
              <w:top w:w="0" w:type="dxa"/>
              <w:left w:w="108" w:type="dxa"/>
              <w:bottom w:w="0" w:type="dxa"/>
              <w:right w:w="108" w:type="dxa"/>
            </w:tcMar>
            <w:hideMark/>
          </w:tcPr>
          <w:p w14:paraId="48BEAC1B"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3CC69069" w14:textId="77777777" w:rsidTr="006E5C07">
        <w:tc>
          <w:tcPr>
            <w:tcW w:w="3759" w:type="dxa"/>
            <w:tcMar>
              <w:top w:w="0" w:type="dxa"/>
              <w:left w:w="108" w:type="dxa"/>
              <w:bottom w:w="0" w:type="dxa"/>
              <w:right w:w="108" w:type="dxa"/>
            </w:tcMar>
            <w:hideMark/>
          </w:tcPr>
          <w:p w14:paraId="298D6841" w14:textId="77777777" w:rsidR="006E5C07" w:rsidRPr="006E5C07" w:rsidRDefault="006E5C07" w:rsidP="006E5C07">
            <w:pPr>
              <w:spacing w:after="0" w:line="240" w:lineRule="auto"/>
              <w:rPr>
                <w:rFonts w:ascii="Calibri" w:eastAsia="Times New Roman" w:hAnsi="Calibri" w:cs="Calibri"/>
              </w:rPr>
            </w:pPr>
          </w:p>
        </w:tc>
        <w:tc>
          <w:tcPr>
            <w:tcW w:w="2417" w:type="dxa"/>
            <w:tcMar>
              <w:top w:w="0" w:type="dxa"/>
              <w:left w:w="108" w:type="dxa"/>
              <w:bottom w:w="0" w:type="dxa"/>
              <w:right w:w="108" w:type="dxa"/>
            </w:tcMar>
            <w:hideMark/>
          </w:tcPr>
          <w:p w14:paraId="30E54887" w14:textId="77777777" w:rsidR="006E5C07" w:rsidRPr="006E5C07" w:rsidRDefault="006E5C07" w:rsidP="006E5C07">
            <w:pPr>
              <w:spacing w:after="0" w:line="240" w:lineRule="auto"/>
              <w:jc w:val="right"/>
              <w:rPr>
                <w:rFonts w:ascii="Calibri" w:eastAsia="Times New Roman" w:hAnsi="Calibri" w:cs="Calibri"/>
              </w:rPr>
            </w:pPr>
          </w:p>
        </w:tc>
        <w:tc>
          <w:tcPr>
            <w:tcW w:w="2202" w:type="dxa"/>
            <w:tcMar>
              <w:top w:w="0" w:type="dxa"/>
              <w:left w:w="108" w:type="dxa"/>
              <w:bottom w:w="0" w:type="dxa"/>
              <w:right w:w="108" w:type="dxa"/>
            </w:tcMar>
            <w:hideMark/>
          </w:tcPr>
          <w:p w14:paraId="671C1E62"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383DEB50" w14:textId="77777777" w:rsidTr="006E5C07">
        <w:tc>
          <w:tcPr>
            <w:tcW w:w="3759" w:type="dxa"/>
            <w:tcMar>
              <w:top w:w="0" w:type="dxa"/>
              <w:left w:w="108" w:type="dxa"/>
              <w:bottom w:w="0" w:type="dxa"/>
              <w:right w:w="108" w:type="dxa"/>
            </w:tcMar>
            <w:hideMark/>
          </w:tcPr>
          <w:p w14:paraId="289EDAD2"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Weighted average number of ordinary shares</w:t>
            </w:r>
          </w:p>
        </w:tc>
        <w:tc>
          <w:tcPr>
            <w:tcW w:w="2417" w:type="dxa"/>
            <w:tcMar>
              <w:top w:w="0" w:type="dxa"/>
              <w:left w:w="108" w:type="dxa"/>
              <w:bottom w:w="0" w:type="dxa"/>
              <w:right w:w="108" w:type="dxa"/>
            </w:tcMar>
            <w:hideMark/>
          </w:tcPr>
          <w:p w14:paraId="713D797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19,520</w:t>
            </w:r>
          </w:p>
        </w:tc>
        <w:tc>
          <w:tcPr>
            <w:tcW w:w="2202" w:type="dxa"/>
            <w:tcMar>
              <w:top w:w="0" w:type="dxa"/>
              <w:left w:w="108" w:type="dxa"/>
              <w:bottom w:w="0" w:type="dxa"/>
              <w:right w:w="108" w:type="dxa"/>
            </w:tcMar>
            <w:hideMark/>
          </w:tcPr>
          <w:p w14:paraId="5E6A8A0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20,991</w:t>
            </w:r>
          </w:p>
        </w:tc>
      </w:tr>
      <w:tr w:rsidR="006E5C07" w:rsidRPr="006E5C07" w14:paraId="61D22989" w14:textId="77777777" w:rsidTr="006E5C07">
        <w:tc>
          <w:tcPr>
            <w:tcW w:w="3759" w:type="dxa"/>
            <w:tcMar>
              <w:top w:w="0" w:type="dxa"/>
              <w:left w:w="108" w:type="dxa"/>
              <w:bottom w:w="0" w:type="dxa"/>
              <w:right w:w="108" w:type="dxa"/>
            </w:tcMar>
            <w:hideMark/>
          </w:tcPr>
          <w:p w14:paraId="3A791B7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 used in the calculation of diluted earnings per</w:t>
            </w:r>
          </w:p>
        </w:tc>
        <w:tc>
          <w:tcPr>
            <w:tcW w:w="2417" w:type="dxa"/>
            <w:tcMar>
              <w:top w:w="0" w:type="dxa"/>
              <w:left w:w="108" w:type="dxa"/>
              <w:bottom w:w="0" w:type="dxa"/>
              <w:right w:w="108" w:type="dxa"/>
            </w:tcMar>
            <w:hideMark/>
          </w:tcPr>
          <w:p w14:paraId="531EFE3E" w14:textId="77777777" w:rsidR="006E5C07" w:rsidRPr="006E5C07" w:rsidRDefault="006E5C07" w:rsidP="006E5C07">
            <w:pPr>
              <w:spacing w:after="0" w:line="240" w:lineRule="auto"/>
              <w:jc w:val="right"/>
              <w:rPr>
                <w:rFonts w:ascii="Calibri" w:eastAsia="Times New Roman" w:hAnsi="Calibri" w:cs="Calibri"/>
              </w:rPr>
            </w:pPr>
          </w:p>
        </w:tc>
        <w:tc>
          <w:tcPr>
            <w:tcW w:w="2202" w:type="dxa"/>
            <w:tcMar>
              <w:top w:w="0" w:type="dxa"/>
              <w:left w:w="108" w:type="dxa"/>
              <w:bottom w:w="0" w:type="dxa"/>
              <w:right w:w="108" w:type="dxa"/>
            </w:tcMar>
            <w:hideMark/>
          </w:tcPr>
          <w:p w14:paraId="670C66D7"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7F66707F" w14:textId="77777777" w:rsidTr="006E5C07">
        <w:tc>
          <w:tcPr>
            <w:tcW w:w="3759" w:type="dxa"/>
            <w:tcMar>
              <w:top w:w="0" w:type="dxa"/>
              <w:left w:w="108" w:type="dxa"/>
              <w:bottom w:w="0" w:type="dxa"/>
              <w:right w:w="108" w:type="dxa"/>
            </w:tcMar>
            <w:hideMark/>
          </w:tcPr>
          <w:p w14:paraId="56904808"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Share</w:t>
            </w:r>
          </w:p>
        </w:tc>
        <w:tc>
          <w:tcPr>
            <w:tcW w:w="2417" w:type="dxa"/>
            <w:tcMar>
              <w:top w:w="0" w:type="dxa"/>
              <w:left w:w="108" w:type="dxa"/>
              <w:bottom w:w="0" w:type="dxa"/>
              <w:right w:w="108" w:type="dxa"/>
            </w:tcMar>
            <w:hideMark/>
          </w:tcPr>
          <w:p w14:paraId="78283DE2" w14:textId="77777777" w:rsidR="006E5C07" w:rsidRPr="006E5C07" w:rsidRDefault="006E5C07" w:rsidP="006E5C07">
            <w:pPr>
              <w:spacing w:after="0" w:line="240" w:lineRule="auto"/>
              <w:jc w:val="right"/>
              <w:rPr>
                <w:rFonts w:ascii="Calibri" w:eastAsia="Times New Roman" w:hAnsi="Calibri" w:cs="Calibri"/>
              </w:rPr>
            </w:pPr>
          </w:p>
        </w:tc>
        <w:tc>
          <w:tcPr>
            <w:tcW w:w="2202" w:type="dxa"/>
            <w:tcMar>
              <w:top w:w="0" w:type="dxa"/>
              <w:left w:w="108" w:type="dxa"/>
              <w:bottom w:w="0" w:type="dxa"/>
              <w:right w:w="108" w:type="dxa"/>
            </w:tcMar>
            <w:hideMark/>
          </w:tcPr>
          <w:p w14:paraId="3ADB0548" w14:textId="77777777" w:rsidR="006E5C07" w:rsidRPr="006E5C07" w:rsidRDefault="006E5C07" w:rsidP="006E5C07">
            <w:pPr>
              <w:spacing w:after="0" w:line="240" w:lineRule="auto"/>
              <w:jc w:val="right"/>
              <w:rPr>
                <w:rFonts w:ascii="Calibri" w:eastAsia="Times New Roman" w:hAnsi="Calibri" w:cs="Calibri"/>
              </w:rPr>
            </w:pPr>
          </w:p>
        </w:tc>
      </w:tr>
    </w:tbl>
    <w:p w14:paraId="17F6B412"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6E66DACC"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000000"/>
          <w:sz w:val="18"/>
          <w:szCs w:val="18"/>
        </w:rPr>
        <w:t>As set out in notes 27, there are share options outstanding as at 31 December 2020 which, if exercised, would increase the number of shares in issue. However, the diluted loss per share is the same as the basic loss per share in the year to 31 December 2020, as the loss for the year has an anti-dilutive effect.</w:t>
      </w:r>
    </w:p>
    <w:p w14:paraId="7AE4B027"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000000"/>
          <w:sz w:val="18"/>
          <w:szCs w:val="18"/>
        </w:rPr>
        <w:t> </w:t>
      </w:r>
    </w:p>
    <w:p w14:paraId="3246C5AD" w14:textId="77777777" w:rsidR="006E5C07" w:rsidRPr="006E5C07" w:rsidRDefault="006E5C07" w:rsidP="006E5C07">
      <w:pPr>
        <w:spacing w:after="0" w:line="240" w:lineRule="auto"/>
        <w:ind w:hanging="567"/>
        <w:jc w:val="both"/>
        <w:rPr>
          <w:rFonts w:ascii="Calibri" w:eastAsia="Times New Roman" w:hAnsi="Calibri" w:cs="Calibri"/>
          <w:b/>
          <w:bCs/>
          <w:color w:val="16202C"/>
        </w:rPr>
      </w:pPr>
      <w:r w:rsidRPr="006E5C07">
        <w:rPr>
          <w:rFonts w:ascii="Gill Sans MT" w:eastAsia="Times New Roman" w:hAnsi="Gill Sans MT" w:cs="Calibri"/>
          <w:b/>
          <w:bCs/>
          <w:color w:val="16202C"/>
          <w:sz w:val="18"/>
          <w:szCs w:val="18"/>
        </w:rPr>
        <w:t>27.       Share options</w:t>
      </w:r>
    </w:p>
    <w:p w14:paraId="601A3AEA"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6952FE45"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Group has established a share option scheme that senior executives and certain eligible employees are entitled to participate in at the discretion of the Board which is advised on such matters by the Remuneration Committee.</w:t>
      </w:r>
    </w:p>
    <w:p w14:paraId="2FF1800C"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5ECA242C"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In aggregate, share options have been granted under the share option scheme over 1,300,818 ordinary shares exercisable within the dates and at the exercise prices shown below, being the market value at the date of the grant.</w:t>
      </w:r>
    </w:p>
    <w:p w14:paraId="0BDAA7B2" w14:textId="77777777" w:rsidR="006E5C07" w:rsidRPr="006E5C07" w:rsidRDefault="006E5C07" w:rsidP="006E5C07">
      <w:pPr>
        <w:spacing w:line="240" w:lineRule="auto"/>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2341"/>
        <w:gridCol w:w="1174"/>
        <w:gridCol w:w="3713"/>
        <w:gridCol w:w="924"/>
      </w:tblGrid>
      <w:tr w:rsidR="006E5C07" w:rsidRPr="006E5C07" w14:paraId="5C27CFAA" w14:textId="77777777" w:rsidTr="006E5C07">
        <w:tc>
          <w:tcPr>
            <w:tcW w:w="2341" w:type="dxa"/>
            <w:tcMar>
              <w:top w:w="0" w:type="dxa"/>
              <w:left w:w="108" w:type="dxa"/>
              <w:bottom w:w="0" w:type="dxa"/>
              <w:right w:w="108" w:type="dxa"/>
            </w:tcMar>
            <w:hideMark/>
          </w:tcPr>
          <w:p w14:paraId="5E6006DE"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Date of grant</w:t>
            </w:r>
          </w:p>
        </w:tc>
        <w:tc>
          <w:tcPr>
            <w:tcW w:w="1174" w:type="dxa"/>
            <w:tcMar>
              <w:top w:w="0" w:type="dxa"/>
              <w:left w:w="108" w:type="dxa"/>
              <w:bottom w:w="0" w:type="dxa"/>
              <w:right w:w="108" w:type="dxa"/>
            </w:tcMar>
            <w:hideMark/>
          </w:tcPr>
          <w:p w14:paraId="24F45D20"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Number</w:t>
            </w:r>
          </w:p>
        </w:tc>
        <w:tc>
          <w:tcPr>
            <w:tcW w:w="3713" w:type="dxa"/>
            <w:tcMar>
              <w:top w:w="0" w:type="dxa"/>
              <w:left w:w="108" w:type="dxa"/>
              <w:bottom w:w="0" w:type="dxa"/>
              <w:right w:w="108" w:type="dxa"/>
            </w:tcMar>
            <w:hideMark/>
          </w:tcPr>
          <w:p w14:paraId="4DA54C5F"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Option period</w:t>
            </w:r>
          </w:p>
        </w:tc>
        <w:tc>
          <w:tcPr>
            <w:tcW w:w="924" w:type="dxa"/>
            <w:tcMar>
              <w:top w:w="0" w:type="dxa"/>
              <w:left w:w="108" w:type="dxa"/>
              <w:bottom w:w="0" w:type="dxa"/>
              <w:right w:w="108" w:type="dxa"/>
            </w:tcMar>
            <w:hideMark/>
          </w:tcPr>
          <w:p w14:paraId="596FB7BF"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Price</w:t>
            </w:r>
          </w:p>
          <w:p w14:paraId="2DE8EF0F"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 </w:t>
            </w:r>
          </w:p>
        </w:tc>
      </w:tr>
      <w:tr w:rsidR="006E5C07" w:rsidRPr="006E5C07" w14:paraId="49D2A124" w14:textId="77777777" w:rsidTr="006E5C07">
        <w:tc>
          <w:tcPr>
            <w:tcW w:w="2341" w:type="dxa"/>
            <w:tcMar>
              <w:top w:w="0" w:type="dxa"/>
              <w:left w:w="108" w:type="dxa"/>
              <w:bottom w:w="0" w:type="dxa"/>
              <w:right w:w="108" w:type="dxa"/>
            </w:tcMar>
            <w:hideMark/>
          </w:tcPr>
          <w:p w14:paraId="7E5695F4" w14:textId="77777777" w:rsidR="006E5C07" w:rsidRPr="006E5C07" w:rsidRDefault="006E5C07" w:rsidP="006E5C07">
            <w:pPr>
              <w:spacing w:after="0" w:line="240" w:lineRule="auto"/>
              <w:rPr>
                <w:rFonts w:ascii="Calibri" w:eastAsia="Times New Roman" w:hAnsi="Calibri" w:cs="Calibri"/>
                <w:b/>
                <w:bCs/>
              </w:rPr>
            </w:pPr>
          </w:p>
        </w:tc>
        <w:tc>
          <w:tcPr>
            <w:tcW w:w="1174" w:type="dxa"/>
            <w:tcMar>
              <w:top w:w="0" w:type="dxa"/>
              <w:left w:w="108" w:type="dxa"/>
              <w:bottom w:w="0" w:type="dxa"/>
              <w:right w:w="108" w:type="dxa"/>
            </w:tcMar>
            <w:hideMark/>
          </w:tcPr>
          <w:p w14:paraId="5AC3B2BE" w14:textId="77777777" w:rsidR="006E5C07" w:rsidRPr="006E5C07" w:rsidRDefault="006E5C07" w:rsidP="006E5C07">
            <w:pPr>
              <w:spacing w:after="0" w:line="240" w:lineRule="auto"/>
              <w:rPr>
                <w:rFonts w:ascii="Calibri" w:eastAsia="Times New Roman" w:hAnsi="Calibri" w:cs="Calibri"/>
                <w:b/>
                <w:bCs/>
              </w:rPr>
            </w:pPr>
          </w:p>
        </w:tc>
        <w:tc>
          <w:tcPr>
            <w:tcW w:w="3713" w:type="dxa"/>
            <w:tcMar>
              <w:top w:w="0" w:type="dxa"/>
              <w:left w:w="108" w:type="dxa"/>
              <w:bottom w:w="0" w:type="dxa"/>
              <w:right w:w="108" w:type="dxa"/>
            </w:tcMar>
            <w:hideMark/>
          </w:tcPr>
          <w:p w14:paraId="20ACFBAA" w14:textId="77777777" w:rsidR="006E5C07" w:rsidRPr="006E5C07" w:rsidRDefault="006E5C07" w:rsidP="006E5C07">
            <w:pPr>
              <w:spacing w:after="0" w:line="240" w:lineRule="auto"/>
              <w:rPr>
                <w:rFonts w:ascii="Calibri" w:eastAsia="Times New Roman" w:hAnsi="Calibri" w:cs="Calibri"/>
                <w:b/>
                <w:bCs/>
              </w:rPr>
            </w:pPr>
          </w:p>
        </w:tc>
        <w:tc>
          <w:tcPr>
            <w:tcW w:w="924" w:type="dxa"/>
            <w:tcMar>
              <w:top w:w="0" w:type="dxa"/>
              <w:left w:w="108" w:type="dxa"/>
              <w:bottom w:w="0" w:type="dxa"/>
              <w:right w:w="108" w:type="dxa"/>
            </w:tcMar>
            <w:hideMark/>
          </w:tcPr>
          <w:p w14:paraId="273F7E07" w14:textId="77777777" w:rsidR="006E5C07" w:rsidRPr="006E5C07" w:rsidRDefault="006E5C07" w:rsidP="006E5C07">
            <w:pPr>
              <w:spacing w:after="0" w:line="240" w:lineRule="auto"/>
              <w:rPr>
                <w:rFonts w:ascii="Calibri" w:eastAsia="Times New Roman" w:hAnsi="Calibri" w:cs="Calibri"/>
                <w:b/>
                <w:bCs/>
              </w:rPr>
            </w:pPr>
          </w:p>
        </w:tc>
      </w:tr>
      <w:tr w:rsidR="006E5C07" w:rsidRPr="006E5C07" w14:paraId="0CAE4FC5" w14:textId="77777777" w:rsidTr="006E5C07">
        <w:tc>
          <w:tcPr>
            <w:tcW w:w="2341" w:type="dxa"/>
            <w:tcMar>
              <w:top w:w="0" w:type="dxa"/>
              <w:left w:w="108" w:type="dxa"/>
              <w:bottom w:w="0" w:type="dxa"/>
              <w:right w:w="108" w:type="dxa"/>
            </w:tcMar>
            <w:hideMark/>
          </w:tcPr>
          <w:p w14:paraId="307CD0AC"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12 January 2015</w:t>
            </w:r>
          </w:p>
        </w:tc>
        <w:tc>
          <w:tcPr>
            <w:tcW w:w="1174" w:type="dxa"/>
            <w:tcMar>
              <w:top w:w="0" w:type="dxa"/>
              <w:left w:w="108" w:type="dxa"/>
              <w:bottom w:w="0" w:type="dxa"/>
              <w:right w:w="108" w:type="dxa"/>
            </w:tcMar>
            <w:hideMark/>
          </w:tcPr>
          <w:p w14:paraId="3F5E3438"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376,000</w:t>
            </w:r>
          </w:p>
        </w:tc>
        <w:tc>
          <w:tcPr>
            <w:tcW w:w="3713" w:type="dxa"/>
            <w:tcMar>
              <w:top w:w="0" w:type="dxa"/>
              <w:left w:w="108" w:type="dxa"/>
              <w:bottom w:w="0" w:type="dxa"/>
              <w:right w:w="108" w:type="dxa"/>
            </w:tcMar>
            <w:hideMark/>
          </w:tcPr>
          <w:p w14:paraId="1C062B1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12 January 2018 - 12 January 2025</w:t>
            </w:r>
          </w:p>
        </w:tc>
        <w:tc>
          <w:tcPr>
            <w:tcW w:w="924" w:type="dxa"/>
            <w:tcMar>
              <w:top w:w="0" w:type="dxa"/>
              <w:left w:w="108" w:type="dxa"/>
              <w:bottom w:w="0" w:type="dxa"/>
              <w:right w:w="108" w:type="dxa"/>
            </w:tcMar>
            <w:hideMark/>
          </w:tcPr>
          <w:p w14:paraId="33B0475B"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47.4p</w:t>
            </w:r>
          </w:p>
        </w:tc>
      </w:tr>
      <w:tr w:rsidR="006E5C07" w:rsidRPr="006E5C07" w14:paraId="0DC6DE1D" w14:textId="77777777" w:rsidTr="006E5C07">
        <w:tc>
          <w:tcPr>
            <w:tcW w:w="2341" w:type="dxa"/>
            <w:tcMar>
              <w:top w:w="0" w:type="dxa"/>
              <w:left w:w="108" w:type="dxa"/>
              <w:bottom w:w="0" w:type="dxa"/>
              <w:right w:w="108" w:type="dxa"/>
            </w:tcMar>
            <w:hideMark/>
          </w:tcPr>
          <w:p w14:paraId="1636E6A6"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lastRenderedPageBreak/>
              <w:t>1 July 2019</w:t>
            </w:r>
          </w:p>
        </w:tc>
        <w:tc>
          <w:tcPr>
            <w:tcW w:w="1174" w:type="dxa"/>
            <w:tcMar>
              <w:top w:w="0" w:type="dxa"/>
              <w:left w:w="108" w:type="dxa"/>
              <w:bottom w:w="0" w:type="dxa"/>
              <w:right w:w="108" w:type="dxa"/>
            </w:tcMar>
            <w:hideMark/>
          </w:tcPr>
          <w:p w14:paraId="533B3CFB"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824,818</w:t>
            </w:r>
          </w:p>
        </w:tc>
        <w:tc>
          <w:tcPr>
            <w:tcW w:w="3713" w:type="dxa"/>
            <w:tcMar>
              <w:top w:w="0" w:type="dxa"/>
              <w:left w:w="108" w:type="dxa"/>
              <w:bottom w:w="0" w:type="dxa"/>
              <w:right w:w="108" w:type="dxa"/>
            </w:tcMar>
            <w:hideMark/>
          </w:tcPr>
          <w:p w14:paraId="229F3863"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1 July 2022 - 1 July 2029</w:t>
            </w:r>
          </w:p>
        </w:tc>
        <w:tc>
          <w:tcPr>
            <w:tcW w:w="924" w:type="dxa"/>
            <w:tcMar>
              <w:top w:w="0" w:type="dxa"/>
              <w:left w:w="108" w:type="dxa"/>
              <w:bottom w:w="0" w:type="dxa"/>
              <w:right w:w="108" w:type="dxa"/>
            </w:tcMar>
            <w:hideMark/>
          </w:tcPr>
          <w:p w14:paraId="5142E137"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12.0p</w:t>
            </w:r>
          </w:p>
        </w:tc>
      </w:tr>
      <w:tr w:rsidR="006E5C07" w:rsidRPr="006E5C07" w14:paraId="2CFD9BD2" w14:textId="77777777" w:rsidTr="006E5C07">
        <w:tc>
          <w:tcPr>
            <w:tcW w:w="2341" w:type="dxa"/>
            <w:tcMar>
              <w:top w:w="0" w:type="dxa"/>
              <w:left w:w="108" w:type="dxa"/>
              <w:bottom w:w="0" w:type="dxa"/>
              <w:right w:w="108" w:type="dxa"/>
            </w:tcMar>
            <w:hideMark/>
          </w:tcPr>
          <w:p w14:paraId="2143BDED"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1 October 2019</w:t>
            </w:r>
          </w:p>
        </w:tc>
        <w:tc>
          <w:tcPr>
            <w:tcW w:w="1174" w:type="dxa"/>
            <w:tcMar>
              <w:top w:w="0" w:type="dxa"/>
              <w:left w:w="108" w:type="dxa"/>
              <w:bottom w:w="0" w:type="dxa"/>
              <w:right w:w="108" w:type="dxa"/>
            </w:tcMar>
            <w:hideMark/>
          </w:tcPr>
          <w:p w14:paraId="3ED9FA33"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100,000</w:t>
            </w:r>
          </w:p>
        </w:tc>
        <w:tc>
          <w:tcPr>
            <w:tcW w:w="3713" w:type="dxa"/>
            <w:tcMar>
              <w:top w:w="0" w:type="dxa"/>
              <w:left w:w="108" w:type="dxa"/>
              <w:bottom w:w="0" w:type="dxa"/>
              <w:right w:w="108" w:type="dxa"/>
            </w:tcMar>
            <w:hideMark/>
          </w:tcPr>
          <w:p w14:paraId="4B604CD8"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1 October 2022 - 1 October 2029</w:t>
            </w:r>
          </w:p>
        </w:tc>
        <w:tc>
          <w:tcPr>
            <w:tcW w:w="924" w:type="dxa"/>
            <w:tcMar>
              <w:top w:w="0" w:type="dxa"/>
              <w:left w:w="108" w:type="dxa"/>
              <w:bottom w:w="0" w:type="dxa"/>
              <w:right w:w="108" w:type="dxa"/>
            </w:tcMar>
            <w:hideMark/>
          </w:tcPr>
          <w:p w14:paraId="4870DDE6"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13.5p</w:t>
            </w:r>
          </w:p>
        </w:tc>
      </w:tr>
    </w:tbl>
    <w:p w14:paraId="184F83E9" w14:textId="77777777" w:rsidR="006E5C07" w:rsidRPr="006E5C07" w:rsidRDefault="006E5C07" w:rsidP="006E5C07">
      <w:pPr>
        <w:spacing w:after="0" w:line="240" w:lineRule="auto"/>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3D843319"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movement in the number of options outstanding under the scheme over the period is as follows:</w:t>
      </w:r>
    </w:p>
    <w:p w14:paraId="13A91B6E" w14:textId="77777777" w:rsidR="006E5C07" w:rsidRPr="006E5C07" w:rsidRDefault="006E5C07" w:rsidP="006E5C07">
      <w:pPr>
        <w:spacing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5165"/>
        <w:gridCol w:w="1606"/>
        <w:gridCol w:w="1607"/>
      </w:tblGrid>
      <w:tr w:rsidR="006E5C07" w:rsidRPr="006E5C07" w14:paraId="3F0CD83B" w14:textId="77777777" w:rsidTr="006E5C07">
        <w:tc>
          <w:tcPr>
            <w:tcW w:w="5165" w:type="dxa"/>
            <w:tcMar>
              <w:top w:w="0" w:type="dxa"/>
              <w:left w:w="108" w:type="dxa"/>
              <w:bottom w:w="0" w:type="dxa"/>
              <w:right w:w="108" w:type="dxa"/>
            </w:tcMar>
            <w:hideMark/>
          </w:tcPr>
          <w:p w14:paraId="598DFA2A" w14:textId="77777777" w:rsidR="006E5C07" w:rsidRPr="006E5C07" w:rsidRDefault="006E5C07" w:rsidP="006E5C07">
            <w:pPr>
              <w:spacing w:after="0" w:line="240" w:lineRule="auto"/>
              <w:rPr>
                <w:rFonts w:ascii="Calibri" w:eastAsia="Times New Roman" w:hAnsi="Calibri" w:cs="Calibri"/>
              </w:rPr>
            </w:pPr>
          </w:p>
        </w:tc>
        <w:tc>
          <w:tcPr>
            <w:tcW w:w="1606" w:type="dxa"/>
            <w:tcMar>
              <w:top w:w="0" w:type="dxa"/>
              <w:left w:w="108" w:type="dxa"/>
              <w:bottom w:w="0" w:type="dxa"/>
              <w:right w:w="108" w:type="dxa"/>
            </w:tcMar>
            <w:hideMark/>
          </w:tcPr>
          <w:p w14:paraId="36C307B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c>
          <w:tcPr>
            <w:tcW w:w="1607" w:type="dxa"/>
            <w:tcMar>
              <w:top w:w="0" w:type="dxa"/>
              <w:left w:w="108" w:type="dxa"/>
              <w:bottom w:w="0" w:type="dxa"/>
              <w:right w:w="108" w:type="dxa"/>
            </w:tcMar>
            <w:hideMark/>
          </w:tcPr>
          <w:p w14:paraId="730C6F0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r>
      <w:tr w:rsidR="006E5C07" w:rsidRPr="006E5C07" w14:paraId="78EF2BEB" w14:textId="77777777" w:rsidTr="006E5C07">
        <w:tc>
          <w:tcPr>
            <w:tcW w:w="5165" w:type="dxa"/>
            <w:tcMar>
              <w:top w:w="0" w:type="dxa"/>
              <w:left w:w="108" w:type="dxa"/>
              <w:bottom w:w="0" w:type="dxa"/>
              <w:right w:w="108" w:type="dxa"/>
            </w:tcMar>
            <w:hideMark/>
          </w:tcPr>
          <w:p w14:paraId="6AD0242D" w14:textId="77777777" w:rsidR="006E5C07" w:rsidRPr="006E5C07" w:rsidRDefault="006E5C07" w:rsidP="006E5C07">
            <w:pPr>
              <w:spacing w:after="0" w:line="240" w:lineRule="auto"/>
              <w:rPr>
                <w:rFonts w:ascii="Calibri" w:eastAsia="Times New Roman" w:hAnsi="Calibri" w:cs="Calibri"/>
              </w:rPr>
            </w:pPr>
          </w:p>
        </w:tc>
        <w:tc>
          <w:tcPr>
            <w:tcW w:w="1606" w:type="dxa"/>
            <w:tcMar>
              <w:top w:w="0" w:type="dxa"/>
              <w:left w:w="108" w:type="dxa"/>
              <w:bottom w:w="0" w:type="dxa"/>
              <w:right w:w="108" w:type="dxa"/>
            </w:tcMar>
            <w:hideMark/>
          </w:tcPr>
          <w:p w14:paraId="4E08BCE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'20</w:t>
            </w:r>
          </w:p>
        </w:tc>
        <w:tc>
          <w:tcPr>
            <w:tcW w:w="1607" w:type="dxa"/>
            <w:tcMar>
              <w:top w:w="0" w:type="dxa"/>
              <w:left w:w="108" w:type="dxa"/>
              <w:bottom w:w="0" w:type="dxa"/>
              <w:right w:w="108" w:type="dxa"/>
            </w:tcMar>
            <w:hideMark/>
          </w:tcPr>
          <w:p w14:paraId="4043826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'19</w:t>
            </w:r>
          </w:p>
        </w:tc>
      </w:tr>
      <w:tr w:rsidR="006E5C07" w:rsidRPr="006E5C07" w14:paraId="41A92B15" w14:textId="77777777" w:rsidTr="006E5C07">
        <w:tc>
          <w:tcPr>
            <w:tcW w:w="5165" w:type="dxa"/>
            <w:tcMar>
              <w:top w:w="0" w:type="dxa"/>
              <w:left w:w="108" w:type="dxa"/>
              <w:bottom w:w="0" w:type="dxa"/>
              <w:right w:w="108" w:type="dxa"/>
            </w:tcMar>
            <w:hideMark/>
          </w:tcPr>
          <w:p w14:paraId="0A74C98A" w14:textId="77777777" w:rsidR="006E5C07" w:rsidRPr="006E5C07" w:rsidRDefault="006E5C07" w:rsidP="006E5C07">
            <w:pPr>
              <w:spacing w:after="0" w:line="240" w:lineRule="auto"/>
              <w:rPr>
                <w:rFonts w:ascii="Calibri" w:eastAsia="Times New Roman" w:hAnsi="Calibri" w:cs="Calibri"/>
              </w:rPr>
            </w:pPr>
          </w:p>
        </w:tc>
        <w:tc>
          <w:tcPr>
            <w:tcW w:w="1606" w:type="dxa"/>
            <w:tcMar>
              <w:top w:w="0" w:type="dxa"/>
              <w:left w:w="108" w:type="dxa"/>
              <w:bottom w:w="0" w:type="dxa"/>
              <w:right w:w="108" w:type="dxa"/>
            </w:tcMar>
            <w:hideMark/>
          </w:tcPr>
          <w:p w14:paraId="3D646DA7" w14:textId="77777777" w:rsidR="006E5C07" w:rsidRPr="006E5C07" w:rsidRDefault="006E5C07" w:rsidP="006E5C07">
            <w:pPr>
              <w:spacing w:after="0" w:line="240" w:lineRule="auto"/>
              <w:jc w:val="right"/>
              <w:rPr>
                <w:rFonts w:ascii="Calibri" w:eastAsia="Times New Roman" w:hAnsi="Calibri" w:cs="Calibri"/>
              </w:rPr>
            </w:pPr>
          </w:p>
        </w:tc>
        <w:tc>
          <w:tcPr>
            <w:tcW w:w="1607" w:type="dxa"/>
            <w:tcMar>
              <w:top w:w="0" w:type="dxa"/>
              <w:left w:w="108" w:type="dxa"/>
              <w:bottom w:w="0" w:type="dxa"/>
              <w:right w:w="108" w:type="dxa"/>
            </w:tcMar>
            <w:hideMark/>
          </w:tcPr>
          <w:p w14:paraId="50CF7430"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0EAA5C01" w14:textId="77777777" w:rsidTr="006E5C07">
        <w:tc>
          <w:tcPr>
            <w:tcW w:w="5165" w:type="dxa"/>
            <w:tcMar>
              <w:top w:w="0" w:type="dxa"/>
              <w:left w:w="108" w:type="dxa"/>
              <w:bottom w:w="0" w:type="dxa"/>
              <w:right w:w="108" w:type="dxa"/>
            </w:tcMar>
            <w:hideMark/>
          </w:tcPr>
          <w:p w14:paraId="11E68FB6" w14:textId="77777777" w:rsidR="006E5C07" w:rsidRPr="006E5C07" w:rsidRDefault="006E5C07" w:rsidP="006E5C07">
            <w:pPr>
              <w:spacing w:after="0" w:line="240" w:lineRule="auto"/>
              <w:rPr>
                <w:rFonts w:ascii="Calibri" w:eastAsia="Times New Roman" w:hAnsi="Calibri" w:cs="Calibri"/>
              </w:rPr>
            </w:pPr>
          </w:p>
        </w:tc>
        <w:tc>
          <w:tcPr>
            <w:tcW w:w="1606" w:type="dxa"/>
            <w:tcMar>
              <w:top w:w="0" w:type="dxa"/>
              <w:left w:w="108" w:type="dxa"/>
              <w:bottom w:w="0" w:type="dxa"/>
              <w:right w:w="108" w:type="dxa"/>
            </w:tcMar>
            <w:hideMark/>
          </w:tcPr>
          <w:p w14:paraId="5523ECBE" w14:textId="77777777" w:rsidR="006E5C07" w:rsidRPr="006E5C07" w:rsidRDefault="006E5C07" w:rsidP="006E5C07">
            <w:pPr>
              <w:spacing w:after="0" w:line="240" w:lineRule="auto"/>
              <w:jc w:val="right"/>
              <w:rPr>
                <w:rFonts w:ascii="Calibri" w:eastAsia="Times New Roman" w:hAnsi="Calibri" w:cs="Calibri"/>
              </w:rPr>
            </w:pPr>
          </w:p>
        </w:tc>
        <w:tc>
          <w:tcPr>
            <w:tcW w:w="1607" w:type="dxa"/>
            <w:tcMar>
              <w:top w:w="0" w:type="dxa"/>
              <w:left w:w="108" w:type="dxa"/>
              <w:bottom w:w="0" w:type="dxa"/>
              <w:right w:w="108" w:type="dxa"/>
            </w:tcMar>
            <w:hideMark/>
          </w:tcPr>
          <w:p w14:paraId="5E3E14A1"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2DB22366" w14:textId="77777777" w:rsidTr="006E5C07">
        <w:tc>
          <w:tcPr>
            <w:tcW w:w="5165" w:type="dxa"/>
            <w:tcMar>
              <w:top w:w="0" w:type="dxa"/>
              <w:left w:w="108" w:type="dxa"/>
              <w:bottom w:w="0" w:type="dxa"/>
              <w:right w:w="108" w:type="dxa"/>
            </w:tcMar>
            <w:hideMark/>
          </w:tcPr>
          <w:p w14:paraId="38983AF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Number of options outstanding as at the beginning of the period</w:t>
            </w:r>
          </w:p>
        </w:tc>
        <w:tc>
          <w:tcPr>
            <w:tcW w:w="1606" w:type="dxa"/>
            <w:tcMar>
              <w:top w:w="0" w:type="dxa"/>
              <w:left w:w="108" w:type="dxa"/>
              <w:bottom w:w="0" w:type="dxa"/>
              <w:right w:w="108" w:type="dxa"/>
            </w:tcMar>
            <w:hideMark/>
          </w:tcPr>
          <w:p w14:paraId="431B4D8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1,815,325</w:t>
            </w:r>
          </w:p>
        </w:tc>
        <w:tc>
          <w:tcPr>
            <w:tcW w:w="1607" w:type="dxa"/>
            <w:tcMar>
              <w:top w:w="0" w:type="dxa"/>
              <w:left w:w="108" w:type="dxa"/>
              <w:bottom w:w="0" w:type="dxa"/>
              <w:right w:w="108" w:type="dxa"/>
            </w:tcMar>
            <w:hideMark/>
          </w:tcPr>
          <w:p w14:paraId="097A238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769,325</w:t>
            </w:r>
          </w:p>
        </w:tc>
      </w:tr>
      <w:tr w:rsidR="006E5C07" w:rsidRPr="006E5C07" w14:paraId="529A4F31" w14:textId="77777777" w:rsidTr="006E5C07">
        <w:tc>
          <w:tcPr>
            <w:tcW w:w="5165" w:type="dxa"/>
            <w:tcMar>
              <w:top w:w="0" w:type="dxa"/>
              <w:left w:w="108" w:type="dxa"/>
              <w:bottom w:w="0" w:type="dxa"/>
              <w:right w:w="108" w:type="dxa"/>
            </w:tcMar>
            <w:hideMark/>
          </w:tcPr>
          <w:p w14:paraId="2604D7B9" w14:textId="77777777" w:rsidR="006E5C07" w:rsidRPr="006E5C07" w:rsidRDefault="006E5C07" w:rsidP="006E5C07">
            <w:pPr>
              <w:spacing w:after="0" w:line="240" w:lineRule="auto"/>
              <w:rPr>
                <w:rFonts w:ascii="Calibri" w:eastAsia="Times New Roman" w:hAnsi="Calibri" w:cs="Calibri"/>
              </w:rPr>
            </w:pPr>
          </w:p>
        </w:tc>
        <w:tc>
          <w:tcPr>
            <w:tcW w:w="1606" w:type="dxa"/>
            <w:tcMar>
              <w:top w:w="0" w:type="dxa"/>
              <w:left w:w="108" w:type="dxa"/>
              <w:bottom w:w="0" w:type="dxa"/>
              <w:right w:w="108" w:type="dxa"/>
            </w:tcMar>
            <w:hideMark/>
          </w:tcPr>
          <w:p w14:paraId="22D49B9E" w14:textId="77777777" w:rsidR="006E5C07" w:rsidRPr="006E5C07" w:rsidRDefault="006E5C07" w:rsidP="006E5C07">
            <w:pPr>
              <w:spacing w:after="0" w:line="240" w:lineRule="auto"/>
              <w:jc w:val="right"/>
              <w:rPr>
                <w:rFonts w:ascii="Calibri" w:eastAsia="Times New Roman" w:hAnsi="Calibri" w:cs="Calibri"/>
              </w:rPr>
            </w:pPr>
          </w:p>
        </w:tc>
        <w:tc>
          <w:tcPr>
            <w:tcW w:w="1607" w:type="dxa"/>
            <w:tcMar>
              <w:top w:w="0" w:type="dxa"/>
              <w:left w:w="108" w:type="dxa"/>
              <w:bottom w:w="0" w:type="dxa"/>
              <w:right w:w="108" w:type="dxa"/>
            </w:tcMar>
            <w:hideMark/>
          </w:tcPr>
          <w:p w14:paraId="5162B3D8"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164D216D" w14:textId="77777777" w:rsidTr="006E5C07">
        <w:tc>
          <w:tcPr>
            <w:tcW w:w="5165" w:type="dxa"/>
            <w:tcMar>
              <w:top w:w="0" w:type="dxa"/>
              <w:left w:w="108" w:type="dxa"/>
              <w:bottom w:w="0" w:type="dxa"/>
              <w:right w:w="108" w:type="dxa"/>
            </w:tcMar>
            <w:hideMark/>
          </w:tcPr>
          <w:p w14:paraId="04DCEFF5"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Granted</w:t>
            </w:r>
          </w:p>
        </w:tc>
        <w:tc>
          <w:tcPr>
            <w:tcW w:w="1606" w:type="dxa"/>
            <w:tcMar>
              <w:top w:w="0" w:type="dxa"/>
              <w:left w:w="108" w:type="dxa"/>
              <w:bottom w:w="0" w:type="dxa"/>
              <w:right w:w="108" w:type="dxa"/>
            </w:tcMar>
            <w:hideMark/>
          </w:tcPr>
          <w:p w14:paraId="2AEE45B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607" w:type="dxa"/>
            <w:tcMar>
              <w:top w:w="0" w:type="dxa"/>
              <w:left w:w="108" w:type="dxa"/>
              <w:bottom w:w="0" w:type="dxa"/>
              <w:right w:w="108" w:type="dxa"/>
            </w:tcMar>
            <w:hideMark/>
          </w:tcPr>
          <w:p w14:paraId="11F59B22"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1,100,000</w:t>
            </w:r>
          </w:p>
        </w:tc>
      </w:tr>
      <w:tr w:rsidR="006E5C07" w:rsidRPr="006E5C07" w14:paraId="24EE3E08" w14:textId="77777777" w:rsidTr="006E5C07">
        <w:tc>
          <w:tcPr>
            <w:tcW w:w="5165" w:type="dxa"/>
            <w:tcMar>
              <w:top w:w="0" w:type="dxa"/>
              <w:left w:w="108" w:type="dxa"/>
              <w:bottom w:w="0" w:type="dxa"/>
              <w:right w:w="108" w:type="dxa"/>
            </w:tcMar>
            <w:hideMark/>
          </w:tcPr>
          <w:p w14:paraId="2807FD4F"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Lapsed</w:t>
            </w:r>
          </w:p>
          <w:p w14:paraId="558D87B4"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Forfeited</w:t>
            </w:r>
          </w:p>
        </w:tc>
        <w:tc>
          <w:tcPr>
            <w:tcW w:w="1606" w:type="dxa"/>
            <w:tcBorders>
              <w:top w:val="nil"/>
              <w:left w:val="nil"/>
              <w:bottom w:val="single" w:sz="8" w:space="0" w:color="auto"/>
              <w:right w:val="nil"/>
            </w:tcBorders>
            <w:tcMar>
              <w:top w:w="0" w:type="dxa"/>
              <w:left w:w="108" w:type="dxa"/>
              <w:bottom w:w="0" w:type="dxa"/>
              <w:right w:w="108" w:type="dxa"/>
            </w:tcMar>
            <w:hideMark/>
          </w:tcPr>
          <w:p w14:paraId="319BF39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(300,000)</w:t>
            </w:r>
          </w:p>
          <w:p w14:paraId="46DC8A3F"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(214,507)</w:t>
            </w:r>
          </w:p>
        </w:tc>
        <w:tc>
          <w:tcPr>
            <w:tcW w:w="1607" w:type="dxa"/>
            <w:tcBorders>
              <w:top w:val="nil"/>
              <w:left w:val="nil"/>
              <w:bottom w:val="single" w:sz="8" w:space="0" w:color="auto"/>
              <w:right w:val="nil"/>
            </w:tcBorders>
            <w:tcMar>
              <w:top w:w="0" w:type="dxa"/>
              <w:left w:w="108" w:type="dxa"/>
              <w:bottom w:w="0" w:type="dxa"/>
              <w:right w:w="108" w:type="dxa"/>
            </w:tcMar>
            <w:hideMark/>
          </w:tcPr>
          <w:p w14:paraId="15B07B0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p w14:paraId="2E6CF48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(54,000)</w:t>
            </w:r>
          </w:p>
        </w:tc>
      </w:tr>
      <w:tr w:rsidR="006E5C07" w:rsidRPr="006E5C07" w14:paraId="2B8223EA" w14:textId="77777777" w:rsidTr="006E5C07">
        <w:tc>
          <w:tcPr>
            <w:tcW w:w="5165" w:type="dxa"/>
            <w:tcMar>
              <w:top w:w="0" w:type="dxa"/>
              <w:left w:w="108" w:type="dxa"/>
              <w:bottom w:w="0" w:type="dxa"/>
              <w:right w:w="108" w:type="dxa"/>
            </w:tcMar>
            <w:hideMark/>
          </w:tcPr>
          <w:p w14:paraId="62CE81F6"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Number of options outstanding as at the end of the period</w:t>
            </w:r>
          </w:p>
        </w:tc>
        <w:tc>
          <w:tcPr>
            <w:tcW w:w="1606" w:type="dxa"/>
            <w:tcBorders>
              <w:top w:val="nil"/>
              <w:left w:val="nil"/>
              <w:bottom w:val="nil"/>
              <w:right w:val="nil"/>
            </w:tcBorders>
            <w:tcMar>
              <w:top w:w="0" w:type="dxa"/>
              <w:left w:w="108" w:type="dxa"/>
              <w:bottom w:w="0" w:type="dxa"/>
              <w:right w:w="108" w:type="dxa"/>
            </w:tcMar>
            <w:hideMark/>
          </w:tcPr>
          <w:p w14:paraId="275C980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1,300,818</w:t>
            </w:r>
          </w:p>
        </w:tc>
        <w:tc>
          <w:tcPr>
            <w:tcW w:w="1607" w:type="dxa"/>
            <w:tcBorders>
              <w:top w:val="nil"/>
              <w:left w:val="nil"/>
              <w:bottom w:val="nil"/>
              <w:right w:val="nil"/>
            </w:tcBorders>
            <w:tcMar>
              <w:top w:w="0" w:type="dxa"/>
              <w:left w:w="108" w:type="dxa"/>
              <w:bottom w:w="0" w:type="dxa"/>
              <w:right w:w="108" w:type="dxa"/>
            </w:tcMar>
            <w:hideMark/>
          </w:tcPr>
          <w:p w14:paraId="2641205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1,815,325</w:t>
            </w:r>
          </w:p>
        </w:tc>
      </w:tr>
    </w:tbl>
    <w:p w14:paraId="3AA882FA"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6DB588C9"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In total, 1,300,818 options were outstanding at 31 December 2020 (1,815,325 at 31 December 2019) with a weighted average exercise price of 22.3p (21.8p at 31 December 2019).</w:t>
      </w:r>
    </w:p>
    <w:p w14:paraId="684D6A4C"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7CF3D95F"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The total share-based payment charge for the year, calculated in accordance with IFRS2 on share-based payments, was £nil (2019: £nil).</w:t>
      </w:r>
    </w:p>
    <w:p w14:paraId="31E703B4" w14:textId="77777777" w:rsidR="006E5C07" w:rsidRPr="006E5C07" w:rsidRDefault="006E5C07" w:rsidP="006E5C07">
      <w:pPr>
        <w:spacing w:after="200" w:line="253" w:lineRule="atLeast"/>
        <w:ind w:hanging="567"/>
        <w:rPr>
          <w:rFonts w:ascii="Calibri" w:eastAsia="Times New Roman" w:hAnsi="Calibri" w:cs="Calibri"/>
          <w:b/>
          <w:bCs/>
          <w:color w:val="16202C"/>
        </w:rPr>
      </w:pPr>
      <w:r w:rsidRPr="006E5C07">
        <w:rPr>
          <w:rFonts w:ascii="Gill Sans MT" w:eastAsia="Times New Roman" w:hAnsi="Gill Sans MT" w:cs="Calibri"/>
          <w:b/>
          <w:bCs/>
          <w:color w:val="16202C"/>
          <w:sz w:val="18"/>
          <w:szCs w:val="18"/>
        </w:rPr>
        <w:t>28.       Save As You Earn Scheme</w:t>
      </w:r>
    </w:p>
    <w:p w14:paraId="0685E357"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Group had a Save As You Earn ("SAYE") scheme that all UK based employees were entitled to participate in. The scheme ran for three years from 1 July 2017 with the opportunity to buy shares at a price of 19.5p, a 20% discount on the average closing share price on the three working days from 20 to 24 April 2017.</w:t>
      </w:r>
    </w:p>
    <w:p w14:paraId="596F3701"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1A9DF642"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Share options had been granted under the SAYE scheme over 59,072 ordinary shares exercisable within the dates and at the exercise prices shown below, being the market value at the date of the grant.</w:t>
      </w:r>
    </w:p>
    <w:p w14:paraId="38FD1419" w14:textId="77777777" w:rsidR="006E5C07" w:rsidRPr="006E5C07" w:rsidRDefault="006E5C07" w:rsidP="006E5C07">
      <w:pPr>
        <w:spacing w:line="240" w:lineRule="auto"/>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tbl>
      <w:tblPr>
        <w:tblW w:w="0" w:type="auto"/>
        <w:tblInd w:w="-108" w:type="dxa"/>
        <w:tblCellMar>
          <w:left w:w="0" w:type="dxa"/>
          <w:right w:w="0" w:type="dxa"/>
        </w:tblCellMar>
        <w:tblLook w:val="04A0" w:firstRow="1" w:lastRow="0" w:firstColumn="1" w:lastColumn="0" w:noHBand="0" w:noVBand="1"/>
      </w:tblPr>
      <w:tblGrid>
        <w:gridCol w:w="2374"/>
        <w:gridCol w:w="1184"/>
        <w:gridCol w:w="3780"/>
        <w:gridCol w:w="824"/>
      </w:tblGrid>
      <w:tr w:rsidR="006E5C07" w:rsidRPr="006E5C07" w14:paraId="5D603FBF" w14:textId="77777777" w:rsidTr="006E5C07">
        <w:tc>
          <w:tcPr>
            <w:tcW w:w="2374" w:type="dxa"/>
            <w:tcMar>
              <w:top w:w="0" w:type="dxa"/>
              <w:left w:w="108" w:type="dxa"/>
              <w:bottom w:w="0" w:type="dxa"/>
              <w:right w:w="108" w:type="dxa"/>
            </w:tcMar>
            <w:hideMark/>
          </w:tcPr>
          <w:p w14:paraId="5FF8DFEB"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Date of grant</w:t>
            </w:r>
          </w:p>
        </w:tc>
        <w:tc>
          <w:tcPr>
            <w:tcW w:w="1184" w:type="dxa"/>
            <w:tcMar>
              <w:top w:w="0" w:type="dxa"/>
              <w:left w:w="108" w:type="dxa"/>
              <w:bottom w:w="0" w:type="dxa"/>
              <w:right w:w="108" w:type="dxa"/>
            </w:tcMar>
            <w:hideMark/>
          </w:tcPr>
          <w:p w14:paraId="69B3163B"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Number</w:t>
            </w:r>
          </w:p>
        </w:tc>
        <w:tc>
          <w:tcPr>
            <w:tcW w:w="3780" w:type="dxa"/>
            <w:tcMar>
              <w:top w:w="0" w:type="dxa"/>
              <w:left w:w="108" w:type="dxa"/>
              <w:bottom w:w="0" w:type="dxa"/>
              <w:right w:w="108" w:type="dxa"/>
            </w:tcMar>
            <w:hideMark/>
          </w:tcPr>
          <w:p w14:paraId="1668C9CD"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Option period</w:t>
            </w:r>
          </w:p>
        </w:tc>
        <w:tc>
          <w:tcPr>
            <w:tcW w:w="824" w:type="dxa"/>
            <w:tcMar>
              <w:top w:w="0" w:type="dxa"/>
              <w:left w:w="108" w:type="dxa"/>
              <w:bottom w:w="0" w:type="dxa"/>
              <w:right w:w="108" w:type="dxa"/>
            </w:tcMar>
            <w:hideMark/>
          </w:tcPr>
          <w:p w14:paraId="4D127452"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Price</w:t>
            </w:r>
          </w:p>
          <w:p w14:paraId="58054621" w14:textId="77777777" w:rsidR="006E5C07" w:rsidRPr="006E5C07" w:rsidRDefault="006E5C07" w:rsidP="006E5C07">
            <w:pPr>
              <w:spacing w:after="0" w:line="240" w:lineRule="auto"/>
              <w:rPr>
                <w:rFonts w:ascii="Calibri" w:eastAsia="Times New Roman" w:hAnsi="Calibri" w:cs="Calibri"/>
                <w:b/>
                <w:bCs/>
              </w:rPr>
            </w:pPr>
            <w:r w:rsidRPr="006E5C07">
              <w:rPr>
                <w:rFonts w:ascii="Gill Sans MT" w:eastAsia="Times New Roman" w:hAnsi="Gill Sans MT" w:cs="Calibri"/>
                <w:b/>
                <w:bCs/>
                <w:sz w:val="18"/>
                <w:szCs w:val="18"/>
              </w:rPr>
              <w:t> </w:t>
            </w:r>
          </w:p>
        </w:tc>
      </w:tr>
      <w:tr w:rsidR="006E5C07" w:rsidRPr="006E5C07" w14:paraId="738FEAF4" w14:textId="77777777" w:rsidTr="006E5C07">
        <w:tc>
          <w:tcPr>
            <w:tcW w:w="2374" w:type="dxa"/>
            <w:tcMar>
              <w:top w:w="0" w:type="dxa"/>
              <w:left w:w="108" w:type="dxa"/>
              <w:bottom w:w="0" w:type="dxa"/>
              <w:right w:w="108" w:type="dxa"/>
            </w:tcMar>
            <w:hideMark/>
          </w:tcPr>
          <w:p w14:paraId="507A6178"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18 May 2017</w:t>
            </w:r>
          </w:p>
        </w:tc>
        <w:tc>
          <w:tcPr>
            <w:tcW w:w="1184" w:type="dxa"/>
            <w:tcMar>
              <w:top w:w="0" w:type="dxa"/>
              <w:left w:w="108" w:type="dxa"/>
              <w:bottom w:w="0" w:type="dxa"/>
              <w:right w:w="108" w:type="dxa"/>
            </w:tcMar>
            <w:hideMark/>
          </w:tcPr>
          <w:p w14:paraId="01FA25B2"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59,072</w:t>
            </w:r>
          </w:p>
        </w:tc>
        <w:tc>
          <w:tcPr>
            <w:tcW w:w="3780" w:type="dxa"/>
            <w:tcMar>
              <w:top w:w="0" w:type="dxa"/>
              <w:left w:w="108" w:type="dxa"/>
              <w:bottom w:w="0" w:type="dxa"/>
              <w:right w:w="108" w:type="dxa"/>
            </w:tcMar>
            <w:hideMark/>
          </w:tcPr>
          <w:p w14:paraId="7484BCC2"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1 July 2020 - 31 December 2020</w:t>
            </w:r>
          </w:p>
        </w:tc>
        <w:tc>
          <w:tcPr>
            <w:tcW w:w="824" w:type="dxa"/>
            <w:tcMar>
              <w:top w:w="0" w:type="dxa"/>
              <w:left w:w="108" w:type="dxa"/>
              <w:bottom w:w="0" w:type="dxa"/>
              <w:right w:w="108" w:type="dxa"/>
            </w:tcMar>
            <w:hideMark/>
          </w:tcPr>
          <w:p w14:paraId="234A46EE"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19.5p</w:t>
            </w:r>
          </w:p>
        </w:tc>
      </w:tr>
    </w:tbl>
    <w:p w14:paraId="73359251" w14:textId="77777777" w:rsidR="006E5C07" w:rsidRPr="006E5C07" w:rsidRDefault="006E5C07" w:rsidP="006E5C07">
      <w:pPr>
        <w:spacing w:after="0" w:line="240" w:lineRule="auto"/>
        <w:rPr>
          <w:rFonts w:ascii="Calibri" w:eastAsia="Times New Roman" w:hAnsi="Calibri" w:cs="Calibri"/>
          <w:b/>
          <w:bCs/>
          <w:color w:val="16202C"/>
        </w:rPr>
      </w:pPr>
      <w:r w:rsidRPr="006E5C07">
        <w:rPr>
          <w:rFonts w:ascii="Gill Sans MT" w:eastAsia="Times New Roman" w:hAnsi="Gill Sans MT" w:cs="Calibri"/>
          <w:b/>
          <w:bCs/>
          <w:color w:val="16202C"/>
          <w:sz w:val="18"/>
          <w:szCs w:val="18"/>
        </w:rPr>
        <w:t> </w:t>
      </w:r>
    </w:p>
    <w:p w14:paraId="693B1B0B"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The movement in the number of options outstanding under the scheme over the period is as follows:</w:t>
      </w:r>
    </w:p>
    <w:p w14:paraId="1B896B4F" w14:textId="77777777" w:rsidR="006E5C07" w:rsidRPr="006E5C07" w:rsidRDefault="006E5C07" w:rsidP="006E5C07">
      <w:pPr>
        <w:spacing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tbl>
      <w:tblPr>
        <w:tblW w:w="9026" w:type="dxa"/>
        <w:tblInd w:w="-108" w:type="dxa"/>
        <w:tblCellMar>
          <w:left w:w="0" w:type="dxa"/>
          <w:right w:w="0" w:type="dxa"/>
        </w:tblCellMar>
        <w:tblLook w:val="04A0" w:firstRow="1" w:lastRow="0" w:firstColumn="1" w:lastColumn="0" w:noHBand="0" w:noVBand="1"/>
      </w:tblPr>
      <w:tblGrid>
        <w:gridCol w:w="5582"/>
        <w:gridCol w:w="1713"/>
        <w:gridCol w:w="1731"/>
      </w:tblGrid>
      <w:tr w:rsidR="006E5C07" w:rsidRPr="006E5C07" w14:paraId="06A58CA0" w14:textId="77777777" w:rsidTr="006E5C07">
        <w:tc>
          <w:tcPr>
            <w:tcW w:w="5181" w:type="dxa"/>
            <w:tcMar>
              <w:top w:w="0" w:type="dxa"/>
              <w:left w:w="108" w:type="dxa"/>
              <w:bottom w:w="0" w:type="dxa"/>
              <w:right w:w="108" w:type="dxa"/>
            </w:tcMar>
            <w:hideMark/>
          </w:tcPr>
          <w:p w14:paraId="01E68846" w14:textId="77777777" w:rsidR="006E5C07" w:rsidRPr="006E5C07" w:rsidRDefault="006E5C07" w:rsidP="006E5C07">
            <w:pPr>
              <w:spacing w:after="0" w:line="240" w:lineRule="auto"/>
              <w:rPr>
                <w:rFonts w:ascii="Calibri" w:eastAsia="Times New Roman" w:hAnsi="Calibri" w:cs="Calibri"/>
              </w:rPr>
            </w:pPr>
          </w:p>
        </w:tc>
        <w:tc>
          <w:tcPr>
            <w:tcW w:w="1590" w:type="dxa"/>
            <w:tcMar>
              <w:top w:w="0" w:type="dxa"/>
              <w:left w:w="108" w:type="dxa"/>
              <w:bottom w:w="0" w:type="dxa"/>
              <w:right w:w="108" w:type="dxa"/>
            </w:tcMar>
            <w:hideMark/>
          </w:tcPr>
          <w:p w14:paraId="04069F5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c>
          <w:tcPr>
            <w:tcW w:w="1607" w:type="dxa"/>
            <w:tcMar>
              <w:top w:w="0" w:type="dxa"/>
              <w:left w:w="108" w:type="dxa"/>
              <w:bottom w:w="0" w:type="dxa"/>
              <w:right w:w="108" w:type="dxa"/>
            </w:tcMar>
            <w:hideMark/>
          </w:tcPr>
          <w:p w14:paraId="0D1C02D6"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12 months to</w:t>
            </w:r>
          </w:p>
        </w:tc>
      </w:tr>
      <w:tr w:rsidR="006E5C07" w:rsidRPr="006E5C07" w14:paraId="28438B92" w14:textId="77777777" w:rsidTr="006E5C07">
        <w:tc>
          <w:tcPr>
            <w:tcW w:w="5181" w:type="dxa"/>
            <w:tcMar>
              <w:top w:w="0" w:type="dxa"/>
              <w:left w:w="108" w:type="dxa"/>
              <w:bottom w:w="0" w:type="dxa"/>
              <w:right w:w="108" w:type="dxa"/>
            </w:tcMar>
            <w:hideMark/>
          </w:tcPr>
          <w:p w14:paraId="181085E3" w14:textId="77777777" w:rsidR="006E5C07" w:rsidRPr="006E5C07" w:rsidRDefault="006E5C07" w:rsidP="006E5C07">
            <w:pPr>
              <w:spacing w:after="0" w:line="240" w:lineRule="auto"/>
              <w:rPr>
                <w:rFonts w:ascii="Calibri" w:eastAsia="Times New Roman" w:hAnsi="Calibri" w:cs="Calibri"/>
              </w:rPr>
            </w:pPr>
          </w:p>
        </w:tc>
        <w:tc>
          <w:tcPr>
            <w:tcW w:w="1590" w:type="dxa"/>
            <w:tcMar>
              <w:top w:w="0" w:type="dxa"/>
              <w:left w:w="108" w:type="dxa"/>
              <w:bottom w:w="0" w:type="dxa"/>
              <w:right w:w="108" w:type="dxa"/>
            </w:tcMar>
            <w:hideMark/>
          </w:tcPr>
          <w:p w14:paraId="4CED050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'20</w:t>
            </w:r>
          </w:p>
        </w:tc>
        <w:tc>
          <w:tcPr>
            <w:tcW w:w="1607" w:type="dxa"/>
            <w:tcMar>
              <w:top w:w="0" w:type="dxa"/>
              <w:left w:w="108" w:type="dxa"/>
              <w:bottom w:w="0" w:type="dxa"/>
              <w:right w:w="108" w:type="dxa"/>
            </w:tcMar>
            <w:hideMark/>
          </w:tcPr>
          <w:p w14:paraId="3BE701F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 December '19</w:t>
            </w:r>
          </w:p>
        </w:tc>
      </w:tr>
      <w:tr w:rsidR="006E5C07" w:rsidRPr="006E5C07" w14:paraId="54354BC7" w14:textId="77777777" w:rsidTr="006E5C07">
        <w:tc>
          <w:tcPr>
            <w:tcW w:w="5181" w:type="dxa"/>
            <w:tcMar>
              <w:top w:w="0" w:type="dxa"/>
              <w:left w:w="108" w:type="dxa"/>
              <w:bottom w:w="0" w:type="dxa"/>
              <w:right w:w="108" w:type="dxa"/>
            </w:tcMar>
            <w:hideMark/>
          </w:tcPr>
          <w:p w14:paraId="424E18E9" w14:textId="77777777" w:rsidR="006E5C07" w:rsidRPr="006E5C07" w:rsidRDefault="006E5C07" w:rsidP="006E5C07">
            <w:pPr>
              <w:spacing w:after="0" w:line="240" w:lineRule="auto"/>
              <w:rPr>
                <w:rFonts w:ascii="Calibri" w:eastAsia="Times New Roman" w:hAnsi="Calibri" w:cs="Calibri"/>
              </w:rPr>
            </w:pPr>
          </w:p>
        </w:tc>
        <w:tc>
          <w:tcPr>
            <w:tcW w:w="1590" w:type="dxa"/>
            <w:tcMar>
              <w:top w:w="0" w:type="dxa"/>
              <w:left w:w="108" w:type="dxa"/>
              <w:bottom w:w="0" w:type="dxa"/>
              <w:right w:w="108" w:type="dxa"/>
            </w:tcMar>
            <w:hideMark/>
          </w:tcPr>
          <w:p w14:paraId="491E7750" w14:textId="77777777" w:rsidR="006E5C07" w:rsidRPr="006E5C07" w:rsidRDefault="006E5C07" w:rsidP="006E5C07">
            <w:pPr>
              <w:spacing w:after="0" w:line="240" w:lineRule="auto"/>
              <w:jc w:val="right"/>
              <w:rPr>
                <w:rFonts w:ascii="Calibri" w:eastAsia="Times New Roman" w:hAnsi="Calibri" w:cs="Calibri"/>
              </w:rPr>
            </w:pPr>
          </w:p>
        </w:tc>
        <w:tc>
          <w:tcPr>
            <w:tcW w:w="1607" w:type="dxa"/>
            <w:tcMar>
              <w:top w:w="0" w:type="dxa"/>
              <w:left w:w="108" w:type="dxa"/>
              <w:bottom w:w="0" w:type="dxa"/>
              <w:right w:w="108" w:type="dxa"/>
            </w:tcMar>
            <w:hideMark/>
          </w:tcPr>
          <w:p w14:paraId="30D41BA5"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64C625B2" w14:textId="77777777" w:rsidTr="006E5C07">
        <w:tc>
          <w:tcPr>
            <w:tcW w:w="5181" w:type="dxa"/>
            <w:tcMar>
              <w:top w:w="0" w:type="dxa"/>
              <w:left w:w="108" w:type="dxa"/>
              <w:bottom w:w="0" w:type="dxa"/>
              <w:right w:w="108" w:type="dxa"/>
            </w:tcMar>
            <w:hideMark/>
          </w:tcPr>
          <w:p w14:paraId="1BA8EC09" w14:textId="77777777" w:rsidR="006E5C07" w:rsidRPr="006E5C07" w:rsidRDefault="006E5C07" w:rsidP="006E5C07">
            <w:pPr>
              <w:spacing w:after="0" w:line="240" w:lineRule="auto"/>
              <w:rPr>
                <w:rFonts w:ascii="Calibri" w:eastAsia="Times New Roman" w:hAnsi="Calibri" w:cs="Calibri"/>
              </w:rPr>
            </w:pPr>
          </w:p>
        </w:tc>
        <w:tc>
          <w:tcPr>
            <w:tcW w:w="1590" w:type="dxa"/>
            <w:tcMar>
              <w:top w:w="0" w:type="dxa"/>
              <w:left w:w="108" w:type="dxa"/>
              <w:bottom w:w="0" w:type="dxa"/>
              <w:right w:w="108" w:type="dxa"/>
            </w:tcMar>
            <w:hideMark/>
          </w:tcPr>
          <w:p w14:paraId="3A73C779" w14:textId="77777777" w:rsidR="006E5C07" w:rsidRPr="006E5C07" w:rsidRDefault="006E5C07" w:rsidP="006E5C07">
            <w:pPr>
              <w:spacing w:after="0" w:line="240" w:lineRule="auto"/>
              <w:jc w:val="right"/>
              <w:rPr>
                <w:rFonts w:ascii="Calibri" w:eastAsia="Times New Roman" w:hAnsi="Calibri" w:cs="Calibri"/>
              </w:rPr>
            </w:pPr>
          </w:p>
        </w:tc>
        <w:tc>
          <w:tcPr>
            <w:tcW w:w="1607" w:type="dxa"/>
            <w:tcMar>
              <w:top w:w="0" w:type="dxa"/>
              <w:left w:w="108" w:type="dxa"/>
              <w:bottom w:w="0" w:type="dxa"/>
              <w:right w:w="108" w:type="dxa"/>
            </w:tcMar>
            <w:hideMark/>
          </w:tcPr>
          <w:p w14:paraId="06B83B43"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47171046" w14:textId="77777777" w:rsidTr="006E5C07">
        <w:tc>
          <w:tcPr>
            <w:tcW w:w="5181" w:type="dxa"/>
            <w:tcMar>
              <w:top w:w="0" w:type="dxa"/>
              <w:left w:w="108" w:type="dxa"/>
              <w:bottom w:w="0" w:type="dxa"/>
              <w:right w:w="108" w:type="dxa"/>
            </w:tcMar>
            <w:hideMark/>
          </w:tcPr>
          <w:p w14:paraId="20A10BE3"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Number of options outstanding as at the beginning of the period</w:t>
            </w:r>
          </w:p>
        </w:tc>
        <w:tc>
          <w:tcPr>
            <w:tcW w:w="1590" w:type="dxa"/>
            <w:tcMar>
              <w:top w:w="0" w:type="dxa"/>
              <w:left w:w="108" w:type="dxa"/>
              <w:bottom w:w="0" w:type="dxa"/>
              <w:right w:w="108" w:type="dxa"/>
            </w:tcMar>
            <w:hideMark/>
          </w:tcPr>
          <w:p w14:paraId="5D51BE5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59,072</w:t>
            </w:r>
          </w:p>
        </w:tc>
        <w:tc>
          <w:tcPr>
            <w:tcW w:w="1607" w:type="dxa"/>
            <w:tcMar>
              <w:top w:w="0" w:type="dxa"/>
              <w:left w:w="108" w:type="dxa"/>
              <w:bottom w:w="0" w:type="dxa"/>
              <w:right w:w="108" w:type="dxa"/>
            </w:tcMar>
            <w:hideMark/>
          </w:tcPr>
          <w:p w14:paraId="2400A06C"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376,604</w:t>
            </w:r>
          </w:p>
        </w:tc>
      </w:tr>
      <w:tr w:rsidR="006E5C07" w:rsidRPr="006E5C07" w14:paraId="5DAD0512" w14:textId="77777777" w:rsidTr="006E5C07">
        <w:tc>
          <w:tcPr>
            <w:tcW w:w="5181" w:type="dxa"/>
            <w:tcMar>
              <w:top w:w="0" w:type="dxa"/>
              <w:left w:w="108" w:type="dxa"/>
              <w:bottom w:w="0" w:type="dxa"/>
              <w:right w:w="108" w:type="dxa"/>
            </w:tcMar>
            <w:hideMark/>
          </w:tcPr>
          <w:p w14:paraId="5AD81A61" w14:textId="77777777" w:rsidR="006E5C07" w:rsidRPr="006E5C07" w:rsidRDefault="006E5C07" w:rsidP="006E5C07">
            <w:pPr>
              <w:spacing w:after="0" w:line="240" w:lineRule="auto"/>
              <w:rPr>
                <w:rFonts w:ascii="Calibri" w:eastAsia="Times New Roman" w:hAnsi="Calibri" w:cs="Calibri"/>
              </w:rPr>
            </w:pPr>
          </w:p>
        </w:tc>
        <w:tc>
          <w:tcPr>
            <w:tcW w:w="1590" w:type="dxa"/>
            <w:tcMar>
              <w:top w:w="0" w:type="dxa"/>
              <w:left w:w="108" w:type="dxa"/>
              <w:bottom w:w="0" w:type="dxa"/>
              <w:right w:w="108" w:type="dxa"/>
            </w:tcMar>
            <w:hideMark/>
          </w:tcPr>
          <w:p w14:paraId="2F78E9FC" w14:textId="77777777" w:rsidR="006E5C07" w:rsidRPr="006E5C07" w:rsidRDefault="006E5C07" w:rsidP="006E5C07">
            <w:pPr>
              <w:spacing w:after="0" w:line="240" w:lineRule="auto"/>
              <w:jc w:val="right"/>
              <w:rPr>
                <w:rFonts w:ascii="Calibri" w:eastAsia="Times New Roman" w:hAnsi="Calibri" w:cs="Calibri"/>
              </w:rPr>
            </w:pPr>
          </w:p>
        </w:tc>
        <w:tc>
          <w:tcPr>
            <w:tcW w:w="1607" w:type="dxa"/>
            <w:tcMar>
              <w:top w:w="0" w:type="dxa"/>
              <w:left w:w="108" w:type="dxa"/>
              <w:bottom w:w="0" w:type="dxa"/>
              <w:right w:w="108" w:type="dxa"/>
            </w:tcMar>
            <w:hideMark/>
          </w:tcPr>
          <w:p w14:paraId="4CB52DDB" w14:textId="77777777" w:rsidR="006E5C07" w:rsidRPr="006E5C07" w:rsidRDefault="006E5C07" w:rsidP="006E5C07">
            <w:pPr>
              <w:spacing w:after="0" w:line="240" w:lineRule="auto"/>
              <w:jc w:val="right"/>
              <w:rPr>
                <w:rFonts w:ascii="Calibri" w:eastAsia="Times New Roman" w:hAnsi="Calibri" w:cs="Calibri"/>
              </w:rPr>
            </w:pPr>
          </w:p>
        </w:tc>
      </w:tr>
      <w:tr w:rsidR="006E5C07" w:rsidRPr="006E5C07" w14:paraId="1A0A1815" w14:textId="77777777" w:rsidTr="006E5C07">
        <w:tc>
          <w:tcPr>
            <w:tcW w:w="5181" w:type="dxa"/>
            <w:tcMar>
              <w:top w:w="0" w:type="dxa"/>
              <w:left w:w="108" w:type="dxa"/>
              <w:bottom w:w="0" w:type="dxa"/>
              <w:right w:w="108" w:type="dxa"/>
            </w:tcMar>
            <w:hideMark/>
          </w:tcPr>
          <w:p w14:paraId="51A86D90"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Granted</w:t>
            </w:r>
          </w:p>
          <w:p w14:paraId="458007F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Lapsed</w:t>
            </w:r>
          </w:p>
        </w:tc>
        <w:tc>
          <w:tcPr>
            <w:tcW w:w="1590" w:type="dxa"/>
            <w:tcMar>
              <w:top w:w="0" w:type="dxa"/>
              <w:left w:w="108" w:type="dxa"/>
              <w:bottom w:w="0" w:type="dxa"/>
              <w:right w:w="108" w:type="dxa"/>
            </w:tcMar>
            <w:hideMark/>
          </w:tcPr>
          <w:p w14:paraId="5BBED36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p w14:paraId="42C1824B"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(59,072)</w:t>
            </w:r>
          </w:p>
        </w:tc>
        <w:tc>
          <w:tcPr>
            <w:tcW w:w="1607" w:type="dxa"/>
            <w:tcMar>
              <w:top w:w="0" w:type="dxa"/>
              <w:left w:w="108" w:type="dxa"/>
              <w:bottom w:w="0" w:type="dxa"/>
              <w:right w:w="108" w:type="dxa"/>
            </w:tcMar>
            <w:hideMark/>
          </w:tcPr>
          <w:p w14:paraId="14B04998"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p w14:paraId="4A041799"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r>
      <w:tr w:rsidR="006E5C07" w:rsidRPr="006E5C07" w14:paraId="073FC3F4" w14:textId="77777777" w:rsidTr="006E5C07">
        <w:tc>
          <w:tcPr>
            <w:tcW w:w="5181" w:type="dxa"/>
            <w:tcMar>
              <w:top w:w="0" w:type="dxa"/>
              <w:left w:w="108" w:type="dxa"/>
              <w:bottom w:w="0" w:type="dxa"/>
              <w:right w:w="108" w:type="dxa"/>
            </w:tcMar>
            <w:hideMark/>
          </w:tcPr>
          <w:p w14:paraId="104AACC2"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Forfeited</w:t>
            </w:r>
          </w:p>
        </w:tc>
        <w:tc>
          <w:tcPr>
            <w:tcW w:w="1590" w:type="dxa"/>
            <w:tcBorders>
              <w:top w:val="nil"/>
              <w:left w:val="nil"/>
              <w:bottom w:val="single" w:sz="8" w:space="0" w:color="auto"/>
              <w:right w:val="nil"/>
            </w:tcBorders>
            <w:tcMar>
              <w:top w:w="0" w:type="dxa"/>
              <w:left w:w="108" w:type="dxa"/>
              <w:bottom w:w="0" w:type="dxa"/>
              <w:right w:w="108" w:type="dxa"/>
            </w:tcMar>
            <w:hideMark/>
          </w:tcPr>
          <w:p w14:paraId="1BD23AC3"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607" w:type="dxa"/>
            <w:tcBorders>
              <w:top w:val="nil"/>
              <w:left w:val="nil"/>
              <w:bottom w:val="single" w:sz="8" w:space="0" w:color="auto"/>
              <w:right w:val="nil"/>
            </w:tcBorders>
            <w:tcMar>
              <w:top w:w="0" w:type="dxa"/>
              <w:left w:w="108" w:type="dxa"/>
              <w:bottom w:w="0" w:type="dxa"/>
              <w:right w:w="108" w:type="dxa"/>
            </w:tcMar>
            <w:hideMark/>
          </w:tcPr>
          <w:p w14:paraId="6B250BB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(317,532)</w:t>
            </w:r>
          </w:p>
        </w:tc>
      </w:tr>
      <w:tr w:rsidR="006E5C07" w:rsidRPr="006E5C07" w14:paraId="4839FA73" w14:textId="77777777" w:rsidTr="006E5C07">
        <w:tc>
          <w:tcPr>
            <w:tcW w:w="5181" w:type="dxa"/>
            <w:tcMar>
              <w:top w:w="0" w:type="dxa"/>
              <w:left w:w="108" w:type="dxa"/>
              <w:bottom w:w="0" w:type="dxa"/>
              <w:right w:w="108" w:type="dxa"/>
            </w:tcMar>
            <w:hideMark/>
          </w:tcPr>
          <w:p w14:paraId="344D11FA" w14:textId="77777777" w:rsidR="006E5C07" w:rsidRPr="006E5C07" w:rsidRDefault="006E5C07" w:rsidP="006E5C07">
            <w:pPr>
              <w:spacing w:after="0" w:line="240" w:lineRule="auto"/>
              <w:rPr>
                <w:rFonts w:ascii="Calibri" w:eastAsia="Times New Roman" w:hAnsi="Calibri" w:cs="Calibri"/>
              </w:rPr>
            </w:pPr>
            <w:r w:rsidRPr="006E5C07">
              <w:rPr>
                <w:rFonts w:ascii="Gill Sans MT" w:eastAsia="Times New Roman" w:hAnsi="Gill Sans MT" w:cs="Calibri"/>
                <w:sz w:val="18"/>
                <w:szCs w:val="18"/>
              </w:rPr>
              <w:t>Number of options outstanding as at the end of the period</w:t>
            </w:r>
          </w:p>
        </w:tc>
        <w:tc>
          <w:tcPr>
            <w:tcW w:w="1590" w:type="dxa"/>
            <w:tcBorders>
              <w:top w:val="nil"/>
              <w:left w:val="nil"/>
              <w:bottom w:val="nil"/>
              <w:right w:val="nil"/>
            </w:tcBorders>
            <w:tcMar>
              <w:top w:w="0" w:type="dxa"/>
              <w:left w:w="108" w:type="dxa"/>
              <w:bottom w:w="0" w:type="dxa"/>
              <w:right w:w="108" w:type="dxa"/>
            </w:tcMar>
            <w:hideMark/>
          </w:tcPr>
          <w:p w14:paraId="0BB76F5A"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w:t>
            </w:r>
          </w:p>
        </w:tc>
        <w:tc>
          <w:tcPr>
            <w:tcW w:w="1607" w:type="dxa"/>
            <w:tcBorders>
              <w:top w:val="nil"/>
              <w:left w:val="nil"/>
              <w:bottom w:val="nil"/>
              <w:right w:val="nil"/>
            </w:tcBorders>
            <w:tcMar>
              <w:top w:w="0" w:type="dxa"/>
              <w:left w:w="108" w:type="dxa"/>
              <w:bottom w:w="0" w:type="dxa"/>
              <w:right w:w="108" w:type="dxa"/>
            </w:tcMar>
            <w:hideMark/>
          </w:tcPr>
          <w:p w14:paraId="173786C5" w14:textId="77777777" w:rsidR="006E5C07" w:rsidRPr="006E5C07" w:rsidRDefault="006E5C07" w:rsidP="006E5C07">
            <w:pPr>
              <w:spacing w:after="0" w:line="240" w:lineRule="auto"/>
              <w:jc w:val="right"/>
              <w:rPr>
                <w:rFonts w:ascii="Calibri" w:eastAsia="Times New Roman" w:hAnsi="Calibri" w:cs="Calibri"/>
              </w:rPr>
            </w:pPr>
            <w:r w:rsidRPr="006E5C07">
              <w:rPr>
                <w:rFonts w:ascii="Gill Sans MT" w:eastAsia="Times New Roman" w:hAnsi="Gill Sans MT" w:cs="Calibri"/>
                <w:sz w:val="18"/>
                <w:szCs w:val="18"/>
              </w:rPr>
              <w:t>59,072</w:t>
            </w:r>
          </w:p>
        </w:tc>
      </w:tr>
    </w:tbl>
    <w:p w14:paraId="7349E12B" w14:textId="77777777" w:rsidR="006E5C07" w:rsidRPr="006E5C07" w:rsidRDefault="006E5C07" w:rsidP="006E5C07">
      <w:pPr>
        <w:spacing w:after="0" w:line="240" w:lineRule="auto"/>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74503530"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In total, no options were outstanding at 31 December 2020 (59,072 at 31 December 2019) with an average exercise price of £nil (19.5p at 31 December 2019).</w:t>
      </w:r>
    </w:p>
    <w:p w14:paraId="44157B55" w14:textId="77777777" w:rsidR="006E5C07" w:rsidRPr="006E5C07" w:rsidRDefault="006E5C07" w:rsidP="006E5C07">
      <w:pPr>
        <w:spacing w:after="0" w:line="240" w:lineRule="auto"/>
        <w:jc w:val="both"/>
        <w:rPr>
          <w:rFonts w:ascii="Calibri" w:eastAsia="Times New Roman" w:hAnsi="Calibri" w:cs="Calibri"/>
          <w:color w:val="16202C"/>
        </w:rPr>
      </w:pPr>
      <w:r w:rsidRPr="006E5C07">
        <w:rPr>
          <w:rFonts w:ascii="Gill Sans MT" w:eastAsia="Times New Roman" w:hAnsi="Gill Sans MT" w:cs="Calibri"/>
          <w:color w:val="16202C"/>
          <w:sz w:val="18"/>
          <w:szCs w:val="18"/>
        </w:rPr>
        <w:t> </w:t>
      </w:r>
    </w:p>
    <w:p w14:paraId="07294054"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The total share-based payment charge for the year, calculated in accordance with IFRS2 on share-based payments, was £nil (2019: £nil).</w:t>
      </w:r>
    </w:p>
    <w:p w14:paraId="54957ED3" w14:textId="77777777" w:rsidR="006E5C07" w:rsidRPr="006E5C07" w:rsidRDefault="006E5C07" w:rsidP="006E5C07">
      <w:pPr>
        <w:spacing w:after="200" w:line="253" w:lineRule="atLeast"/>
        <w:ind w:hanging="567"/>
        <w:rPr>
          <w:rFonts w:ascii="Calibri" w:eastAsia="Times New Roman" w:hAnsi="Calibri" w:cs="Calibri"/>
          <w:b/>
          <w:bCs/>
          <w:color w:val="16202C"/>
        </w:rPr>
      </w:pPr>
      <w:r w:rsidRPr="006E5C07">
        <w:rPr>
          <w:rFonts w:ascii="Gill Sans MT" w:eastAsia="Times New Roman" w:hAnsi="Gill Sans MT" w:cs="Calibri"/>
          <w:b/>
          <w:bCs/>
          <w:color w:val="16202C"/>
          <w:sz w:val="18"/>
          <w:szCs w:val="18"/>
        </w:rPr>
        <w:t>29.       Post Balance Sheet Events</w:t>
      </w:r>
    </w:p>
    <w:p w14:paraId="062F5A38"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Following the end of the financial year, the Group disposed of its entire shareholding in SpaceandPeople India Pvt Limited for a nominal amount. The value of SpaceandPeople India Pvt Limited to the Group has been provided for during 2020 and as a result, there will be no material gain or loss on the disposal of this investment.</w:t>
      </w:r>
    </w:p>
    <w:p w14:paraId="61A4C998" w14:textId="77777777" w:rsidR="006E5C07" w:rsidRPr="006E5C07" w:rsidRDefault="006E5C07" w:rsidP="006E5C07">
      <w:pPr>
        <w:spacing w:after="200" w:line="253" w:lineRule="atLeast"/>
        <w:jc w:val="both"/>
        <w:rPr>
          <w:rFonts w:ascii="Calibri" w:eastAsia="Times New Roman" w:hAnsi="Calibri" w:cs="Calibri"/>
          <w:color w:val="16202C"/>
        </w:rPr>
      </w:pPr>
      <w:r w:rsidRPr="006E5C07">
        <w:rPr>
          <w:rFonts w:ascii="Gill Sans MT" w:eastAsia="Times New Roman" w:hAnsi="Gill Sans MT" w:cs="Calibri"/>
          <w:color w:val="16202C"/>
          <w:sz w:val="18"/>
          <w:szCs w:val="18"/>
        </w:rPr>
        <w:t xml:space="preserve">As mentioned elsewhere in this report, the Directors decided to refinance the Group's borrowing facilities with its principal banker ahead of their planned maturity in October 2021. The £1.0 million five-year term loan obtained during 2020 through the CBILS remains in place. The £1.0 million Revolving Credit Facility that was due to mature in October 2021 was cancelled in March </w:t>
      </w:r>
      <w:r w:rsidRPr="006E5C07">
        <w:rPr>
          <w:rFonts w:ascii="Gill Sans MT" w:eastAsia="Times New Roman" w:hAnsi="Gill Sans MT" w:cs="Calibri"/>
          <w:color w:val="16202C"/>
          <w:sz w:val="18"/>
          <w:szCs w:val="18"/>
        </w:rPr>
        <w:lastRenderedPageBreak/>
        <w:t>2021 and replaced by an additional £1.0 million six-year CBILS term loan, repayable between 2022 and 2027. The Group's £0.25 million annual overdraft facility that was due to mature in October 2021 has been replaced by a new £0.25 million facility and an additional £0.5 million overdraft facility. Both of these facilities were obtained under the CBILS, are repayable on demand and are available for three years. The increase in facilities along with the lengthened maturity periods gives the Group better financial security and certainty.</w:t>
      </w:r>
    </w:p>
    <w:p w14:paraId="09D6AF5A" w14:textId="77777777" w:rsidR="006E5C07" w:rsidRPr="006E5C07" w:rsidRDefault="006E5C07" w:rsidP="006E5C07">
      <w:pPr>
        <w:spacing w:after="0" w:line="240" w:lineRule="auto"/>
        <w:rPr>
          <w:rFonts w:ascii="Times New Roman" w:eastAsia="Times New Roman" w:hAnsi="Times New Roman" w:cs="Times New Roman"/>
          <w:color w:val="16202C"/>
          <w:sz w:val="24"/>
          <w:szCs w:val="24"/>
        </w:rPr>
      </w:pPr>
      <w:r w:rsidRPr="006E5C07">
        <w:rPr>
          <w:rFonts w:ascii="Gill Sans MT" w:eastAsia="Times New Roman" w:hAnsi="Gill Sans MT" w:cs="Times New Roman"/>
          <w:color w:val="000000"/>
          <w:sz w:val="18"/>
          <w:szCs w:val="18"/>
        </w:rPr>
        <w:t> </w:t>
      </w:r>
    </w:p>
    <w:p w14:paraId="0C11CF17" w14:textId="77777777" w:rsidR="006E5C07" w:rsidRPr="006E5C07" w:rsidRDefault="006E5C07" w:rsidP="006E5C07">
      <w:pPr>
        <w:spacing w:after="0" w:line="240" w:lineRule="auto"/>
        <w:rPr>
          <w:rFonts w:ascii="Times New Roman" w:eastAsia="Times New Roman" w:hAnsi="Times New Roman" w:cs="Times New Roman"/>
          <w:color w:val="16202C"/>
          <w:sz w:val="24"/>
          <w:szCs w:val="24"/>
        </w:rPr>
      </w:pPr>
      <w:r w:rsidRPr="006E5C07">
        <w:rPr>
          <w:rFonts w:ascii="Gill Sans MT" w:eastAsia="Times New Roman" w:hAnsi="Gill Sans MT" w:cs="Times New Roman"/>
          <w:color w:val="000000"/>
          <w:sz w:val="18"/>
          <w:szCs w:val="18"/>
        </w:rPr>
        <w:t> </w:t>
      </w:r>
    </w:p>
    <w:p w14:paraId="22424C18" w14:textId="77777777" w:rsidR="006E5C07" w:rsidRPr="006E5C07" w:rsidRDefault="006E5C07" w:rsidP="006E5C07">
      <w:pPr>
        <w:spacing w:after="0" w:line="240" w:lineRule="auto"/>
        <w:rPr>
          <w:rFonts w:ascii="Times New Roman" w:eastAsia="Times New Roman" w:hAnsi="Times New Roman" w:cs="Times New Roman"/>
          <w:color w:val="16202C"/>
          <w:sz w:val="24"/>
          <w:szCs w:val="24"/>
        </w:rPr>
      </w:pPr>
      <w:r w:rsidRPr="006E5C07">
        <w:rPr>
          <w:rFonts w:ascii="Gill Sans MT" w:eastAsia="Times New Roman" w:hAnsi="Gill Sans MT" w:cs="Times New Roman"/>
          <w:color w:val="000000"/>
          <w:sz w:val="18"/>
          <w:szCs w:val="18"/>
        </w:rPr>
        <w:t>For further information, please contact:</w:t>
      </w:r>
    </w:p>
    <w:p w14:paraId="646E0B09" w14:textId="77777777" w:rsidR="006E5C07" w:rsidRPr="006E5C07" w:rsidRDefault="006E5C07" w:rsidP="006E5C07">
      <w:pPr>
        <w:spacing w:after="0" w:line="240" w:lineRule="auto"/>
        <w:rPr>
          <w:rFonts w:ascii="Times New Roman" w:eastAsia="Times New Roman" w:hAnsi="Times New Roman" w:cs="Times New Roman"/>
          <w:color w:val="16202C"/>
          <w:sz w:val="24"/>
          <w:szCs w:val="24"/>
        </w:rPr>
      </w:pPr>
      <w:r w:rsidRPr="006E5C07">
        <w:rPr>
          <w:rFonts w:ascii="Gill Sans MT" w:eastAsia="Times New Roman" w:hAnsi="Gill Sans MT" w:cs="Times New Roman"/>
          <w:color w:val="000000"/>
          <w:sz w:val="18"/>
          <w:szCs w:val="18"/>
        </w:rPr>
        <w:t> </w:t>
      </w:r>
    </w:p>
    <w:p w14:paraId="6CAA3BB2" w14:textId="77777777" w:rsidR="006E5C07" w:rsidRPr="006E5C07" w:rsidRDefault="006E5C07" w:rsidP="006E5C07">
      <w:pPr>
        <w:spacing w:after="0" w:line="240" w:lineRule="auto"/>
        <w:rPr>
          <w:rFonts w:ascii="Times New Roman" w:eastAsia="Times New Roman" w:hAnsi="Times New Roman" w:cs="Times New Roman"/>
          <w:color w:val="16202C"/>
          <w:sz w:val="24"/>
          <w:szCs w:val="24"/>
        </w:rPr>
      </w:pPr>
      <w:r w:rsidRPr="006E5C07">
        <w:rPr>
          <w:rFonts w:ascii="Gill Sans MT" w:eastAsia="Times New Roman" w:hAnsi="Gill Sans MT" w:cs="Times New Roman"/>
          <w:color w:val="000000"/>
          <w:sz w:val="18"/>
          <w:szCs w:val="18"/>
        </w:rPr>
        <w:t>SpaceandPeople plc                                                              0845 241 8215</w:t>
      </w:r>
    </w:p>
    <w:p w14:paraId="59C11D4A" w14:textId="77777777" w:rsidR="006E5C07" w:rsidRPr="006E5C07" w:rsidRDefault="006E5C07" w:rsidP="006E5C07">
      <w:pPr>
        <w:spacing w:after="0" w:line="240" w:lineRule="auto"/>
        <w:rPr>
          <w:rFonts w:ascii="Times New Roman" w:eastAsia="Times New Roman" w:hAnsi="Times New Roman" w:cs="Times New Roman"/>
          <w:color w:val="16202C"/>
          <w:sz w:val="24"/>
          <w:szCs w:val="24"/>
        </w:rPr>
      </w:pPr>
      <w:r w:rsidRPr="006E5C07">
        <w:rPr>
          <w:rFonts w:ascii="Gill Sans MT" w:eastAsia="Times New Roman" w:hAnsi="Gill Sans MT" w:cs="Times New Roman"/>
          <w:color w:val="000000"/>
          <w:sz w:val="18"/>
          <w:szCs w:val="18"/>
        </w:rPr>
        <w:t>Nancy Cullen / Gregor Dunlay</w:t>
      </w:r>
    </w:p>
    <w:p w14:paraId="608D8303" w14:textId="77777777" w:rsidR="006E5C07" w:rsidRPr="006E5C07" w:rsidRDefault="006E5C07" w:rsidP="006E5C07">
      <w:pPr>
        <w:spacing w:after="0" w:line="240" w:lineRule="auto"/>
        <w:rPr>
          <w:rFonts w:ascii="Times New Roman" w:eastAsia="Times New Roman" w:hAnsi="Times New Roman" w:cs="Times New Roman"/>
          <w:color w:val="16202C"/>
          <w:sz w:val="24"/>
          <w:szCs w:val="24"/>
        </w:rPr>
      </w:pPr>
      <w:r w:rsidRPr="006E5C07">
        <w:rPr>
          <w:rFonts w:ascii="Gill Sans MT" w:eastAsia="Times New Roman" w:hAnsi="Gill Sans MT" w:cs="Times New Roman"/>
          <w:color w:val="000000"/>
          <w:sz w:val="18"/>
          <w:szCs w:val="18"/>
        </w:rPr>
        <w:t> </w:t>
      </w:r>
    </w:p>
    <w:p w14:paraId="2FE7EFD8" w14:textId="77777777" w:rsidR="006E5C07" w:rsidRPr="006E5C07" w:rsidRDefault="006E5C07" w:rsidP="006E5C07">
      <w:pPr>
        <w:spacing w:after="0" w:line="240" w:lineRule="auto"/>
        <w:rPr>
          <w:rFonts w:ascii="Times New Roman" w:eastAsia="Times New Roman" w:hAnsi="Times New Roman" w:cs="Times New Roman"/>
          <w:color w:val="16202C"/>
          <w:sz w:val="24"/>
          <w:szCs w:val="24"/>
        </w:rPr>
      </w:pPr>
      <w:r w:rsidRPr="006E5C07">
        <w:rPr>
          <w:rFonts w:ascii="Gill Sans MT" w:eastAsia="Times New Roman" w:hAnsi="Gill Sans MT" w:cs="Times New Roman"/>
          <w:color w:val="000000"/>
          <w:sz w:val="18"/>
          <w:szCs w:val="18"/>
        </w:rPr>
        <w:t>Zeus Capital Limited (Nominated Adviser and Broker)            020 3829 5000</w:t>
      </w:r>
    </w:p>
    <w:p w14:paraId="6FE8FE91" w14:textId="77777777" w:rsidR="006E5C07" w:rsidRPr="006E5C07" w:rsidRDefault="006E5C07" w:rsidP="006E5C07">
      <w:pPr>
        <w:spacing w:line="240" w:lineRule="auto"/>
        <w:rPr>
          <w:rFonts w:ascii="Times New Roman" w:eastAsia="Times New Roman" w:hAnsi="Times New Roman" w:cs="Times New Roman"/>
          <w:color w:val="16202C"/>
          <w:sz w:val="24"/>
          <w:szCs w:val="24"/>
        </w:rPr>
      </w:pPr>
      <w:r w:rsidRPr="006E5C07">
        <w:rPr>
          <w:rFonts w:ascii="Gill Sans MT" w:eastAsia="Times New Roman" w:hAnsi="Gill Sans MT" w:cs="Times New Roman"/>
          <w:color w:val="000000"/>
          <w:sz w:val="18"/>
          <w:szCs w:val="18"/>
        </w:rPr>
        <w:t>David Foreman, Jamie Peel, Rishi Majithia</w:t>
      </w:r>
    </w:p>
    <w:p w14:paraId="587AFD5B" w14:textId="77777777" w:rsidR="006E5C07" w:rsidRPr="006E5C07" w:rsidRDefault="006E5C07" w:rsidP="006E5C07">
      <w:pPr>
        <w:spacing w:after="0" w:line="240" w:lineRule="auto"/>
        <w:rPr>
          <w:rFonts w:ascii="Arial" w:eastAsia="Times New Roman" w:hAnsi="Arial" w:cs="Arial"/>
          <w:color w:val="16202C"/>
          <w:sz w:val="20"/>
          <w:szCs w:val="20"/>
        </w:rPr>
      </w:pPr>
      <w:r w:rsidRPr="006E5C07">
        <w:rPr>
          <w:rFonts w:ascii="Arial" w:eastAsia="Times New Roman" w:hAnsi="Arial" w:cs="Arial"/>
          <w:color w:val="16202C"/>
          <w:sz w:val="20"/>
          <w:szCs w:val="20"/>
        </w:rPr>
        <w:t>This information is provided by RNS, the news service of the London Stock Exchange. RNS is approved by the Financial Conduct Authority to act as a Primary Information Provider in the United Kingdom. Terms and conditions relating to the use and distribution of this information may apply. For further information, please contact </w:t>
      </w:r>
      <w:hyperlink r:id="rId5" w:history="1">
        <w:r w:rsidRPr="006E5C07">
          <w:rPr>
            <w:rFonts w:ascii="Arial" w:eastAsia="Times New Roman" w:hAnsi="Arial" w:cs="Arial"/>
            <w:color w:val="0000FF"/>
            <w:sz w:val="20"/>
            <w:szCs w:val="20"/>
            <w:u w:val="single"/>
          </w:rPr>
          <w:t>rns@lseg.com</w:t>
        </w:r>
      </w:hyperlink>
      <w:r w:rsidRPr="006E5C07">
        <w:rPr>
          <w:rFonts w:ascii="Arial" w:eastAsia="Times New Roman" w:hAnsi="Arial" w:cs="Arial"/>
          <w:color w:val="16202C"/>
          <w:sz w:val="20"/>
          <w:szCs w:val="20"/>
        </w:rPr>
        <w:t> or visit </w:t>
      </w:r>
      <w:hyperlink r:id="rId6" w:history="1">
        <w:r w:rsidRPr="006E5C07">
          <w:rPr>
            <w:rFonts w:ascii="Arial" w:eastAsia="Times New Roman" w:hAnsi="Arial" w:cs="Arial"/>
            <w:color w:val="0000FF"/>
            <w:sz w:val="20"/>
            <w:szCs w:val="20"/>
            <w:u w:val="single"/>
          </w:rPr>
          <w:t>www.rns.com</w:t>
        </w:r>
      </w:hyperlink>
      <w:r w:rsidRPr="006E5C07">
        <w:rPr>
          <w:rFonts w:ascii="Arial" w:eastAsia="Times New Roman" w:hAnsi="Arial" w:cs="Arial"/>
          <w:color w:val="16202C"/>
          <w:sz w:val="20"/>
          <w:szCs w:val="20"/>
        </w:rPr>
        <w:t>.</w:t>
      </w:r>
      <w:r w:rsidRPr="006E5C07">
        <w:rPr>
          <w:rFonts w:ascii="Arial" w:eastAsia="Times New Roman" w:hAnsi="Arial" w:cs="Arial"/>
          <w:color w:val="16202C"/>
          <w:sz w:val="20"/>
          <w:szCs w:val="20"/>
        </w:rPr>
        <w:br/>
      </w:r>
      <w:r w:rsidRPr="006E5C07">
        <w:rPr>
          <w:rFonts w:ascii="Arial" w:eastAsia="Times New Roman" w:hAnsi="Arial" w:cs="Arial"/>
          <w:color w:val="16202C"/>
          <w:sz w:val="20"/>
          <w:szCs w:val="20"/>
        </w:rPr>
        <w:br/>
        <w:t>RNS may use your IP address to confirm compliance with the terms and conditions, to analyse how you engage with the information contained in this communication, and to share such analysis on an anonymised basis with others as part of our commercial services. For further information about how RNS and the London Stock Exchange use the personal data you provide us, please see our </w:t>
      </w:r>
      <w:hyperlink r:id="rId7" w:history="1">
        <w:r w:rsidRPr="006E5C07">
          <w:rPr>
            <w:rFonts w:ascii="Arial" w:eastAsia="Times New Roman" w:hAnsi="Arial" w:cs="Arial"/>
            <w:color w:val="0000FF"/>
            <w:sz w:val="20"/>
            <w:szCs w:val="20"/>
            <w:u w:val="single"/>
          </w:rPr>
          <w:t>Privacy Policy</w:t>
        </w:r>
      </w:hyperlink>
      <w:r w:rsidRPr="006E5C07">
        <w:rPr>
          <w:rFonts w:ascii="Arial" w:eastAsia="Times New Roman" w:hAnsi="Arial" w:cs="Arial"/>
          <w:color w:val="16202C"/>
          <w:sz w:val="20"/>
          <w:szCs w:val="20"/>
        </w:rPr>
        <w:t>.</w:t>
      </w:r>
    </w:p>
    <w:p w14:paraId="01566F7E" w14:textId="77777777" w:rsidR="006E5C07" w:rsidRPr="006E5C07" w:rsidRDefault="006E5C07" w:rsidP="006E5C07">
      <w:pPr>
        <w:spacing w:after="0" w:line="240" w:lineRule="auto"/>
        <w:rPr>
          <w:rFonts w:ascii="Arial" w:eastAsia="Times New Roman" w:hAnsi="Arial" w:cs="Arial"/>
          <w:color w:val="16202C"/>
          <w:sz w:val="20"/>
          <w:szCs w:val="20"/>
        </w:rPr>
      </w:pPr>
      <w:r w:rsidRPr="006E5C07">
        <w:rPr>
          <w:rFonts w:ascii="Arial" w:eastAsia="Times New Roman" w:hAnsi="Arial" w:cs="Arial"/>
          <w:color w:val="16202C"/>
          <w:sz w:val="20"/>
          <w:szCs w:val="20"/>
        </w:rPr>
        <w:t> </w:t>
      </w:r>
    </w:p>
    <w:p w14:paraId="6BFFE9AC" w14:textId="77777777" w:rsidR="006E5C07" w:rsidRPr="006E5C07" w:rsidRDefault="006E5C07" w:rsidP="006E5C07">
      <w:pPr>
        <w:spacing w:after="0" w:line="240" w:lineRule="auto"/>
        <w:rPr>
          <w:rFonts w:ascii="Arial" w:eastAsia="Times New Roman" w:hAnsi="Arial" w:cs="Arial"/>
          <w:color w:val="16202C"/>
          <w:sz w:val="20"/>
          <w:szCs w:val="20"/>
        </w:rPr>
      </w:pPr>
      <w:r w:rsidRPr="006E5C07">
        <w:rPr>
          <w:rFonts w:ascii="Arial" w:eastAsia="Times New Roman" w:hAnsi="Arial" w:cs="Arial"/>
          <w:color w:val="16202C"/>
          <w:sz w:val="20"/>
          <w:szCs w:val="20"/>
        </w:rPr>
        <w:t>END</w:t>
      </w:r>
    </w:p>
    <w:p w14:paraId="53B44E77" w14:textId="77777777" w:rsidR="006E5C07" w:rsidRPr="006E5C07" w:rsidRDefault="006E5C07" w:rsidP="006E5C07">
      <w:pPr>
        <w:spacing w:after="0" w:line="240" w:lineRule="auto"/>
        <w:rPr>
          <w:rFonts w:ascii="Times New Roman" w:eastAsia="Times New Roman" w:hAnsi="Times New Roman" w:cs="Times New Roman"/>
          <w:color w:val="16202C"/>
          <w:sz w:val="21"/>
          <w:szCs w:val="21"/>
        </w:rPr>
      </w:pPr>
      <w:r w:rsidRPr="006E5C07">
        <w:rPr>
          <w:rFonts w:ascii="Times New Roman" w:eastAsia="Times New Roman" w:hAnsi="Times New Roman" w:cs="Times New Roman"/>
          <w:color w:val="16202C"/>
          <w:sz w:val="21"/>
          <w:szCs w:val="21"/>
        </w:rPr>
        <w:t> </w:t>
      </w:r>
    </w:p>
    <w:p w14:paraId="47330EA9" w14:textId="77777777" w:rsidR="006E5C07" w:rsidRPr="006E5C07" w:rsidRDefault="006E5C07" w:rsidP="006E5C07">
      <w:pPr>
        <w:spacing w:after="0" w:line="240" w:lineRule="auto"/>
        <w:rPr>
          <w:rFonts w:ascii="Times New Roman" w:eastAsia="Times New Roman" w:hAnsi="Times New Roman" w:cs="Times New Roman"/>
          <w:color w:val="16202C"/>
          <w:sz w:val="21"/>
          <w:szCs w:val="21"/>
        </w:rPr>
      </w:pPr>
      <w:r w:rsidRPr="006E5C07">
        <w:rPr>
          <w:rFonts w:ascii="Times New Roman" w:eastAsia="Times New Roman" w:hAnsi="Times New Roman" w:cs="Times New Roman"/>
          <w:color w:val="16202C"/>
          <w:sz w:val="21"/>
          <w:szCs w:val="21"/>
        </w:rPr>
        <w:t> </w:t>
      </w:r>
    </w:p>
    <w:p w14:paraId="6AD8708E" w14:textId="0CC644A9" w:rsidR="006E5C07" w:rsidRDefault="006E5C07" w:rsidP="006E5C07">
      <w:r w:rsidRPr="006E5C07">
        <w:rPr>
          <w:rFonts w:ascii="Times New Roman" w:eastAsia="Times New Roman" w:hAnsi="Times New Roman" w:cs="Times New Roman"/>
          <w:color w:val="16202C"/>
          <w:sz w:val="21"/>
          <w:szCs w:val="21"/>
        </w:rPr>
        <w:t>FR ZZGGVNFMGMZM</w:t>
      </w:r>
    </w:p>
    <w:sectPr w:rsidR="006E5C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Roboto Light">
    <w:charset w:val="00"/>
    <w:family w:val="auto"/>
    <w:pitch w:val="variable"/>
    <w:sig w:usb0="E00002FF" w:usb1="5000205B" w:usb2="00000020" w:usb3="00000000" w:csb0="0000019F" w:csb1="00000000"/>
  </w:font>
  <w:font w:name="GTWalsheimProLigh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07"/>
    <w:rsid w:val="005B5A4D"/>
    <w:rsid w:val="006E5C07"/>
    <w:rsid w:val="0082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7A80"/>
  <w15:chartTrackingRefBased/>
  <w15:docId w15:val="{18354B20-9E21-485A-8D3B-ECDAE8BA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y">
    <w:name w:val="uy"/>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w">
    <w:name w:val="uw"/>
    <w:basedOn w:val="DefaultParagraphFont"/>
    <w:rsid w:val="006E5C07"/>
  </w:style>
  <w:style w:type="paragraph" w:customStyle="1" w:styleId="uz">
    <w:name w:val="uz"/>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u">
    <w:name w:val="uu"/>
    <w:basedOn w:val="DefaultParagraphFont"/>
    <w:rsid w:val="006E5C07"/>
  </w:style>
  <w:style w:type="paragraph" w:customStyle="1" w:styleId="va">
    <w:name w:val="va"/>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r">
    <w:name w:val="ur"/>
    <w:basedOn w:val="DefaultParagraphFont"/>
    <w:rsid w:val="006E5C07"/>
  </w:style>
  <w:style w:type="character" w:customStyle="1" w:styleId="uq">
    <w:name w:val="uq"/>
    <w:basedOn w:val="DefaultParagraphFont"/>
    <w:rsid w:val="006E5C07"/>
  </w:style>
  <w:style w:type="character" w:customStyle="1" w:styleId="up">
    <w:name w:val="up"/>
    <w:basedOn w:val="DefaultParagraphFont"/>
    <w:rsid w:val="006E5C07"/>
  </w:style>
  <w:style w:type="paragraph" w:customStyle="1" w:styleId="vb">
    <w:name w:val="vb"/>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o">
    <w:name w:val="uo"/>
    <w:basedOn w:val="DefaultParagraphFont"/>
    <w:rsid w:val="006E5C07"/>
  </w:style>
  <w:style w:type="paragraph" w:customStyle="1" w:styleId="vc">
    <w:name w:val="vc"/>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m">
    <w:name w:val="um"/>
    <w:basedOn w:val="DefaultParagraphFont"/>
    <w:rsid w:val="006E5C07"/>
  </w:style>
  <w:style w:type="paragraph" w:customStyle="1" w:styleId="vd">
    <w:name w:val="vd"/>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
    <w:name w:val="ve"/>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
    <w:name w:val="l"/>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
    <w:name w:val="uk"/>
    <w:basedOn w:val="DefaultParagraphFont"/>
    <w:rsid w:val="006E5C07"/>
  </w:style>
  <w:style w:type="paragraph" w:customStyle="1" w:styleId="vf">
    <w:name w:val="vf"/>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g">
    <w:name w:val="vg"/>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h">
    <w:name w:val="vh"/>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h">
    <w:name w:val="uh"/>
    <w:basedOn w:val="DefaultParagraphFont"/>
    <w:rsid w:val="006E5C07"/>
  </w:style>
  <w:style w:type="paragraph" w:customStyle="1" w:styleId="vi">
    <w:name w:val="vi"/>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j">
    <w:name w:val="vj"/>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k">
    <w:name w:val="vk"/>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d">
    <w:name w:val="ud"/>
    <w:basedOn w:val="DefaultParagraphFont"/>
    <w:rsid w:val="006E5C07"/>
  </w:style>
  <w:style w:type="paragraph" w:customStyle="1" w:styleId="vl">
    <w:name w:val="vl"/>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
    <w:name w:val="n"/>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a">
    <w:name w:val="ua"/>
    <w:basedOn w:val="DefaultParagraphFont"/>
    <w:rsid w:val="006E5C07"/>
  </w:style>
  <w:style w:type="paragraph" w:customStyle="1" w:styleId="vm">
    <w:name w:val="vm"/>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z">
    <w:name w:val="tz"/>
    <w:basedOn w:val="DefaultParagraphFont"/>
    <w:rsid w:val="006E5C07"/>
  </w:style>
  <w:style w:type="paragraph" w:customStyle="1" w:styleId="vn">
    <w:name w:val="vn"/>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
    <w:name w:val="ty"/>
    <w:basedOn w:val="DefaultParagraphFont"/>
    <w:rsid w:val="006E5C07"/>
  </w:style>
  <w:style w:type="paragraph" w:customStyle="1" w:styleId="vo">
    <w:name w:val="vo"/>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p">
    <w:name w:val="vp"/>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
    <w:name w:val="tw"/>
    <w:basedOn w:val="DefaultParagraphFont"/>
    <w:rsid w:val="006E5C07"/>
  </w:style>
  <w:style w:type="character" w:customStyle="1" w:styleId="tv">
    <w:name w:val="tv"/>
    <w:basedOn w:val="DefaultParagraphFont"/>
    <w:rsid w:val="006E5C07"/>
  </w:style>
  <w:style w:type="paragraph" w:customStyle="1" w:styleId="vr">
    <w:name w:val="vr"/>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
    <w:name w:val="vt"/>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
    <w:name w:val="td"/>
    <w:basedOn w:val="DefaultParagraphFont"/>
    <w:rsid w:val="006E5C07"/>
  </w:style>
  <w:style w:type="character" w:customStyle="1" w:styleId="tc">
    <w:name w:val="tc"/>
    <w:basedOn w:val="DefaultParagraphFont"/>
    <w:rsid w:val="006E5C07"/>
  </w:style>
  <w:style w:type="paragraph" w:customStyle="1" w:styleId="vu">
    <w:name w:val="vu"/>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
    <w:name w:val="sy"/>
    <w:basedOn w:val="DefaultParagraphFont"/>
    <w:rsid w:val="006E5C07"/>
  </w:style>
  <w:style w:type="paragraph" w:customStyle="1" w:styleId="vv">
    <w:name w:val="vv"/>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x">
    <w:name w:val="vx"/>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z">
    <w:name w:val="vz"/>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
    <w:name w:val="ro"/>
    <w:basedOn w:val="DefaultParagraphFont"/>
    <w:rsid w:val="006E5C07"/>
  </w:style>
  <w:style w:type="paragraph" w:customStyle="1" w:styleId="wa">
    <w:name w:val="wa"/>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
    <w:name w:val="pt"/>
    <w:basedOn w:val="DefaultParagraphFont"/>
    <w:rsid w:val="006E5C07"/>
  </w:style>
  <w:style w:type="character" w:customStyle="1" w:styleId="pn">
    <w:name w:val="pn"/>
    <w:basedOn w:val="DefaultParagraphFont"/>
    <w:rsid w:val="006E5C07"/>
  </w:style>
  <w:style w:type="paragraph" w:customStyle="1" w:styleId="wb">
    <w:name w:val="wb"/>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6E5C07"/>
  </w:style>
  <w:style w:type="character" w:customStyle="1" w:styleId="pg">
    <w:name w:val="pg"/>
    <w:basedOn w:val="DefaultParagraphFont"/>
    <w:rsid w:val="006E5C07"/>
  </w:style>
  <w:style w:type="paragraph" w:customStyle="1" w:styleId="wc">
    <w:name w:val="wc"/>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
    <w:name w:val="wd"/>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
    <w:name w:val="pe"/>
    <w:basedOn w:val="DefaultParagraphFont"/>
    <w:rsid w:val="006E5C07"/>
  </w:style>
  <w:style w:type="character" w:customStyle="1" w:styleId="pd">
    <w:name w:val="pd"/>
    <w:basedOn w:val="DefaultParagraphFont"/>
    <w:rsid w:val="006E5C07"/>
  </w:style>
  <w:style w:type="character" w:customStyle="1" w:styleId="pb">
    <w:name w:val="pb"/>
    <w:basedOn w:val="DefaultParagraphFont"/>
    <w:rsid w:val="006E5C07"/>
  </w:style>
  <w:style w:type="character" w:customStyle="1" w:styleId="pa">
    <w:name w:val="pa"/>
    <w:basedOn w:val="DefaultParagraphFont"/>
    <w:rsid w:val="006E5C07"/>
  </w:style>
  <w:style w:type="paragraph" w:customStyle="1" w:styleId="we">
    <w:name w:val="we"/>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f">
    <w:name w:val="wf"/>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y">
    <w:name w:val="oy"/>
    <w:basedOn w:val="DefaultParagraphFont"/>
    <w:rsid w:val="006E5C07"/>
  </w:style>
  <w:style w:type="character" w:customStyle="1" w:styleId="ox">
    <w:name w:val="ox"/>
    <w:basedOn w:val="DefaultParagraphFont"/>
    <w:rsid w:val="006E5C07"/>
  </w:style>
  <w:style w:type="paragraph" w:customStyle="1" w:styleId="wg">
    <w:name w:val="wg"/>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
    <w:name w:val="wh"/>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
    <w:name w:val="ot"/>
    <w:basedOn w:val="DefaultParagraphFont"/>
    <w:rsid w:val="006E5C07"/>
  </w:style>
  <w:style w:type="paragraph" w:customStyle="1" w:styleId="wi">
    <w:name w:val="wi"/>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j">
    <w:name w:val="wj"/>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k">
    <w:name w:val="wk"/>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l">
    <w:name w:val="wl"/>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m">
    <w:name w:val="wm"/>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n">
    <w:name w:val="wn"/>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
    <w:name w:val="wo"/>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
    <w:name w:val="wp"/>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
    <w:name w:val="wq"/>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
    <w:name w:val="wr"/>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
    <w:name w:val="mj"/>
    <w:basedOn w:val="DefaultParagraphFont"/>
    <w:rsid w:val="006E5C07"/>
  </w:style>
  <w:style w:type="paragraph" w:customStyle="1" w:styleId="ws">
    <w:name w:val="ws"/>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t">
    <w:name w:val="wt"/>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u">
    <w:name w:val="wu"/>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v">
    <w:name w:val="wv"/>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
    <w:name w:val="ww"/>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x">
    <w:name w:val="wx"/>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
    <w:name w:val="wy"/>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z">
    <w:name w:val="wz"/>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a">
    <w:name w:val="xa"/>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
    <w:name w:val="xb"/>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
    <w:name w:val="xc"/>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
    <w:name w:val="xd"/>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
    <w:name w:val="jp"/>
    <w:basedOn w:val="DefaultParagraphFont"/>
    <w:rsid w:val="006E5C07"/>
  </w:style>
  <w:style w:type="paragraph" w:customStyle="1" w:styleId="xe">
    <w:name w:val="xe"/>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n">
    <w:name w:val="jn"/>
    <w:basedOn w:val="DefaultParagraphFont"/>
    <w:rsid w:val="006E5C07"/>
  </w:style>
  <w:style w:type="character" w:customStyle="1" w:styleId="jc">
    <w:name w:val="jc"/>
    <w:basedOn w:val="DefaultParagraphFont"/>
    <w:rsid w:val="006E5C07"/>
  </w:style>
  <w:style w:type="paragraph" w:customStyle="1" w:styleId="xf">
    <w:name w:val="xf"/>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b">
    <w:name w:val="jb"/>
    <w:basedOn w:val="DefaultParagraphFont"/>
    <w:rsid w:val="006E5C07"/>
  </w:style>
  <w:style w:type="paragraph" w:customStyle="1" w:styleId="xg">
    <w:name w:val="xg"/>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h">
    <w:name w:val="xh"/>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6E5C07"/>
  </w:style>
  <w:style w:type="paragraph" w:customStyle="1" w:styleId="xi">
    <w:name w:val="xi"/>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j">
    <w:name w:val="xj"/>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k">
    <w:name w:val="xk"/>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
    <w:name w:val="xm"/>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n">
    <w:name w:val="xn"/>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o">
    <w:name w:val="xo"/>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
    <w:name w:val="xp"/>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q">
    <w:name w:val="xq"/>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
    <w:name w:val="xr"/>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
    <w:name w:val="xs"/>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
    <w:name w:val="xt"/>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u">
    <w:name w:val="xu"/>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v">
    <w:name w:val="xv"/>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
    <w:name w:val="xw"/>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
    <w:name w:val="xy"/>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z">
    <w:name w:val="xz"/>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
    <w:name w:val="ya"/>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b">
    <w:name w:val="yb"/>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c">
    <w:name w:val="yc"/>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e">
    <w:name w:val="ye"/>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f">
    <w:name w:val="yf"/>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
    <w:name w:val="yg"/>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h">
    <w:name w:val="yh"/>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
    <w:name w:val="yi"/>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j">
    <w:name w:val="yj"/>
    <w:basedOn w:val="DefaultParagraphFont"/>
    <w:rsid w:val="006E5C07"/>
  </w:style>
  <w:style w:type="character" w:customStyle="1" w:styleId="yk">
    <w:name w:val="yk"/>
    <w:basedOn w:val="DefaultParagraphFont"/>
    <w:rsid w:val="006E5C07"/>
  </w:style>
  <w:style w:type="paragraph" w:customStyle="1" w:styleId="yl">
    <w:name w:val="yl"/>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m">
    <w:name w:val="ym"/>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
    <w:name w:val="ca"/>
    <w:basedOn w:val="DefaultParagraphFont"/>
    <w:rsid w:val="006E5C07"/>
  </w:style>
  <w:style w:type="paragraph" w:customStyle="1" w:styleId="yn">
    <w:name w:val="yn"/>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
    <w:name w:val="br"/>
    <w:basedOn w:val="DefaultParagraphFont"/>
    <w:rsid w:val="006E5C07"/>
  </w:style>
  <w:style w:type="paragraph" w:customStyle="1" w:styleId="yo">
    <w:name w:val="yo"/>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q">
    <w:name w:val="yq"/>
    <w:basedOn w:val="Normal"/>
    <w:rsid w:val="006E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r">
    <w:name w:val="yr"/>
    <w:basedOn w:val="DefaultParagraphFont"/>
    <w:rsid w:val="006E5C07"/>
  </w:style>
  <w:style w:type="character" w:styleId="Hyperlink">
    <w:name w:val="Hyperlink"/>
    <w:basedOn w:val="DefaultParagraphFont"/>
    <w:uiPriority w:val="99"/>
    <w:semiHidden/>
    <w:unhideWhenUsed/>
    <w:rsid w:val="006E5C07"/>
    <w:rPr>
      <w:color w:val="0000FF"/>
      <w:u w:val="single"/>
    </w:rPr>
  </w:style>
  <w:style w:type="character" w:styleId="FollowedHyperlink">
    <w:name w:val="FollowedHyperlink"/>
    <w:basedOn w:val="DefaultParagraphFont"/>
    <w:uiPriority w:val="99"/>
    <w:semiHidden/>
    <w:unhideWhenUsed/>
    <w:rsid w:val="006E5C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842566">
      <w:bodyDiv w:val="1"/>
      <w:marLeft w:val="0"/>
      <w:marRight w:val="0"/>
      <w:marTop w:val="0"/>
      <w:marBottom w:val="0"/>
      <w:divBdr>
        <w:top w:val="none" w:sz="0" w:space="0" w:color="auto"/>
        <w:left w:val="none" w:sz="0" w:space="0" w:color="auto"/>
        <w:bottom w:val="none" w:sz="0" w:space="0" w:color="auto"/>
        <w:right w:val="none" w:sz="0" w:space="0" w:color="auto"/>
      </w:divBdr>
      <w:divsChild>
        <w:div w:id="170222580">
          <w:marLeft w:val="0"/>
          <w:marRight w:val="0"/>
          <w:marTop w:val="0"/>
          <w:marBottom w:val="0"/>
          <w:divBdr>
            <w:top w:val="none" w:sz="0" w:space="0" w:color="auto"/>
            <w:left w:val="none" w:sz="0" w:space="0" w:color="auto"/>
            <w:bottom w:val="none" w:sz="0" w:space="0" w:color="auto"/>
            <w:right w:val="none" w:sz="0" w:space="0" w:color="auto"/>
          </w:divBdr>
        </w:div>
        <w:div w:id="672680120">
          <w:marLeft w:val="0"/>
          <w:marRight w:val="0"/>
          <w:marTop w:val="0"/>
          <w:marBottom w:val="0"/>
          <w:divBdr>
            <w:top w:val="none" w:sz="0" w:space="0" w:color="auto"/>
            <w:left w:val="none" w:sz="0" w:space="0" w:color="auto"/>
            <w:bottom w:val="none" w:sz="0" w:space="0" w:color="auto"/>
            <w:right w:val="none" w:sz="0" w:space="0" w:color="auto"/>
          </w:divBdr>
        </w:div>
        <w:div w:id="1437361898">
          <w:marLeft w:val="0"/>
          <w:marRight w:val="0"/>
          <w:marTop w:val="0"/>
          <w:marBottom w:val="0"/>
          <w:divBdr>
            <w:top w:val="none" w:sz="0" w:space="0" w:color="auto"/>
            <w:left w:val="none" w:sz="0" w:space="0" w:color="auto"/>
            <w:bottom w:val="none" w:sz="0" w:space="0" w:color="auto"/>
            <w:right w:val="none" w:sz="0" w:space="0" w:color="auto"/>
          </w:divBdr>
        </w:div>
        <w:div w:id="963004177">
          <w:marLeft w:val="0"/>
          <w:marRight w:val="0"/>
          <w:marTop w:val="0"/>
          <w:marBottom w:val="0"/>
          <w:divBdr>
            <w:top w:val="none" w:sz="0" w:space="0" w:color="auto"/>
            <w:left w:val="none" w:sz="0" w:space="0" w:color="auto"/>
            <w:bottom w:val="none" w:sz="0" w:space="0" w:color="auto"/>
            <w:right w:val="none" w:sz="0" w:space="0" w:color="auto"/>
          </w:divBdr>
        </w:div>
        <w:div w:id="1266962055">
          <w:marLeft w:val="1440"/>
          <w:marRight w:val="1440"/>
          <w:marTop w:val="426"/>
          <w:marBottom w:val="426"/>
          <w:divBdr>
            <w:top w:val="none" w:sz="0" w:space="0" w:color="auto"/>
            <w:left w:val="none" w:sz="0" w:space="0" w:color="auto"/>
            <w:bottom w:val="none" w:sz="0" w:space="0" w:color="auto"/>
            <w:right w:val="none" w:sz="0" w:space="0" w:color="auto"/>
          </w:divBdr>
        </w:div>
        <w:div w:id="794717511">
          <w:marLeft w:val="0"/>
          <w:marRight w:val="0"/>
          <w:marTop w:val="0"/>
          <w:marBottom w:val="0"/>
          <w:divBdr>
            <w:top w:val="none" w:sz="0" w:space="0" w:color="auto"/>
            <w:left w:val="none" w:sz="0" w:space="0" w:color="auto"/>
            <w:bottom w:val="none" w:sz="0" w:space="0" w:color="auto"/>
            <w:right w:val="none" w:sz="0" w:space="0" w:color="auto"/>
          </w:divBdr>
        </w:div>
        <w:div w:id="1799106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seg.com/privacy-and-cookie-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ns.com/" TargetMode="External"/><Relationship Id="rId5" Type="http://schemas.openxmlformats.org/officeDocument/2006/relationships/hyperlink" Target="mailto:rns@lseg.co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11806</Words>
  <Characters>67299</Characters>
  <Application>Microsoft Office Word</Application>
  <DocSecurity>0</DocSecurity>
  <Lines>560</Lines>
  <Paragraphs>157</Paragraphs>
  <ScaleCrop>false</ScaleCrop>
  <Company/>
  <LinksUpToDate>false</LinksUpToDate>
  <CharactersWithSpaces>78948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Dowd</dc:creator>
  <cp:keywords/>
  <dc:description/>
  <cp:lastModifiedBy>Paul Dowd</cp:lastModifiedBy>
  <cp:revision>1</cp:revision>
  <dcterms:created xsi:type="dcterms:W3CDTF">2021-06-04T07:57:00Z</dcterms:created>
  <dcterms:modified xsi:type="dcterms:W3CDTF">2021-06-04T08:02:00Z</dcterms:modified>
</cp:coreProperties>
</file>